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5"/>
          <w:szCs w:val="25"/>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34" w:lineRule="exact"/>
        <w:rPr>
          <w:sz w:val="24"/>
          <w:szCs w:val="24"/>
          <w:color w:val="auto"/>
        </w:rPr>
      </w:pPr>
    </w:p>
    <w:p>
      <w:pPr>
        <w:ind w:left="240"/>
        <w:spacing w:after="0" w:line="221" w:lineRule="exact"/>
        <w:rPr>
          <w:sz w:val="20"/>
          <w:szCs w:val="20"/>
          <w:color w:val="auto"/>
        </w:rPr>
      </w:pPr>
      <w:r>
        <w:rPr>
          <w:rFonts w:ascii="MS PGothic" w:cs="MS PGothic" w:eastAsia="MS PGothic" w:hAnsi="MS PGothic"/>
          <w:sz w:val="22"/>
          <w:szCs w:val="22"/>
          <w:color w:val="auto"/>
        </w:rPr>
        <w:t>☒</w:t>
      </w:r>
    </w:p>
    <w:p>
      <w:pPr>
        <w:spacing w:after="0" w:line="95"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00" w:lineRule="exact"/>
        <w:rPr>
          <w:sz w:val="24"/>
          <w:szCs w:val="24"/>
          <w:color w:val="auto"/>
        </w:rPr>
      </w:pPr>
    </w:p>
    <w:p>
      <w:pPr>
        <w:spacing w:after="0" w:line="215" w:lineRule="exact"/>
        <w:rPr>
          <w:sz w:val="24"/>
          <w:szCs w:val="24"/>
          <w:color w:val="auto"/>
        </w:rPr>
      </w:pPr>
    </w:p>
    <w:p>
      <w:pPr>
        <w:ind w:left="240"/>
        <w:spacing w:after="0" w:line="221" w:lineRule="exact"/>
        <w:rPr>
          <w:sz w:val="20"/>
          <w:szCs w:val="20"/>
          <w:color w:val="auto"/>
        </w:rPr>
      </w:pPr>
      <w:r>
        <w:rPr>
          <w:rFonts w:ascii="MS PGothic" w:cs="MS PGothic" w:eastAsia="MS PGothic" w:hAnsi="MS PGothic"/>
          <w:sz w:val="22"/>
          <w:szCs w:val="22"/>
          <w:color w:val="auto"/>
        </w:rPr>
        <w:t>☐</w:t>
      </w:r>
    </w:p>
    <w:p>
      <w:pPr>
        <w:spacing w:after="0" w:line="95"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334" w:lineRule="exact"/>
        <w:rPr>
          <w:sz w:val="24"/>
          <w:szCs w:val="24"/>
          <w:color w:val="auto"/>
        </w:rPr>
      </w:pPr>
    </w:p>
    <w:p>
      <w:pPr>
        <w:ind w:left="3040"/>
        <w:spacing w:after="0"/>
        <w:tabs>
          <w:tab w:leader="none" w:pos="6640" w:val="left"/>
          <w:tab w:leader="none" w:pos="81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5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Commission file number 1-39628</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 Full title of the plan and the address of the plan, if different from that of the issuer named below:</w:t>
      </w:r>
    </w:p>
    <w:p>
      <w:pPr>
        <w:spacing w:after="0" w:line="248"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PROG Holdings Employee Retirement Plan</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 Name of issuer of the securities held pursuant to the plan and the address of its principal executive office:</w:t>
      </w:r>
    </w:p>
    <w:p>
      <w:pPr>
        <w:spacing w:after="0" w:line="2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256 West Data Drive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Draper, UT 84020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3044825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ind w:right="-939"/>
        <w:spacing w:after="0"/>
        <w:rPr>
          <w:sz w:val="20"/>
          <w:szCs w:val="20"/>
          <w:color w:val="auto"/>
        </w:rPr>
      </w:pPr>
      <w:r>
        <w:rPr>
          <w:rFonts w:ascii="Times New Roman" w:cs="Times New Roman" w:eastAsia="Times New Roman" w:hAnsi="Times New Roman"/>
          <w:sz w:val="22"/>
          <w:szCs w:val="22"/>
          <w:color w:val="auto"/>
        </w:rPr>
        <w:t>PROG Holdings Employee Retirement Plan</w:t>
      </w:r>
    </w:p>
    <w:p>
      <w:pPr>
        <w:spacing w:after="0" w:line="5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22"/>
          <w:szCs w:val="22"/>
          <w:color w:val="auto"/>
        </w:rPr>
        <w:t>Financial Statements and Supplemental Schedules</w:t>
      </w:r>
    </w:p>
    <w:p>
      <w:pPr>
        <w:spacing w:after="0" w:line="5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22"/>
          <w:szCs w:val="22"/>
          <w:color w:val="auto"/>
        </w:rPr>
        <w:t>December 31, 2025 and 2024</w:t>
      </w: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Contents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spacing w:after="0"/>
              <w:rPr>
                <w:sz w:val="19"/>
                <w:szCs w:val="19"/>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79"/>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0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Financial Statements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10060" w:type="dxa"/>
            <w:vAlign w:val="bottom"/>
          </w:tcPr>
          <w:p>
            <w:pPr>
              <w:spacing w:after="0"/>
              <w:rPr>
                <w:sz w:val="20"/>
                <w:szCs w:val="20"/>
                <w:color w:val="auto"/>
              </w:rPr>
            </w:pPr>
            <w:r>
              <w:rPr>
                <w:rFonts w:ascii="Times New Roman" w:cs="Times New Roman" w:eastAsia="Times New Roman" w:hAnsi="Times New Roman"/>
                <w:sz w:val="20"/>
                <w:szCs w:val="20"/>
                <w:color w:val="auto"/>
              </w:rPr>
              <w:t>Statements of Net Assets Available for Benefits at December 31, 2025 and 2024</w:t>
            </w: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79"/>
              </w:rPr>
              <w:t>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3"/>
        </w:trPr>
        <w:tc>
          <w:tcPr>
            <w:tcW w:w="10060" w:type="dxa"/>
            <w:vAlign w:val="bottom"/>
          </w:tcPr>
          <w:p>
            <w:pPr>
              <w:spacing w:after="0"/>
              <w:rPr>
                <w:sz w:val="20"/>
                <w:szCs w:val="20"/>
                <w:color w:val="auto"/>
              </w:rPr>
            </w:pPr>
            <w:r>
              <w:rPr>
                <w:rFonts w:ascii="Times New Roman" w:cs="Times New Roman" w:eastAsia="Times New Roman" w:hAnsi="Times New Roman"/>
                <w:sz w:val="20"/>
                <w:szCs w:val="20"/>
                <w:color w:val="auto"/>
              </w:rPr>
              <w:t>Statements of Changes in Net Assets Available for Benefits for the Years Ended December 31, 2025 and 2024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60" w:type="dxa"/>
            <w:vAlign w:val="bottom"/>
          </w:tcPr>
          <w:p>
            <w:pPr>
              <w:spacing w:after="0"/>
              <w:rPr>
                <w:sz w:val="20"/>
                <w:szCs w:val="20"/>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79"/>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10060" w:type="dxa"/>
            <w:vAlign w:val="bottom"/>
          </w:tcPr>
          <w:p>
            <w:pPr>
              <w:spacing w:after="0"/>
              <w:rPr>
                <w:sz w:val="20"/>
                <w:szCs w:val="20"/>
                <w:color w:val="auto"/>
              </w:rPr>
            </w:pPr>
            <w:r>
              <w:rPr>
                <w:rFonts w:ascii="Times New Roman" w:cs="Times New Roman" w:eastAsia="Times New Roman" w:hAnsi="Times New Roman"/>
                <w:sz w:val="20"/>
                <w:szCs w:val="20"/>
                <w:color w:val="auto"/>
              </w:rPr>
              <w:t>Notes to Financial Statements</w:t>
            </w: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79"/>
              </w:rPr>
              <w:t>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7"/>
        </w:trPr>
        <w:tc>
          <w:tcPr>
            <w:tcW w:w="10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Supplemental Schedules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10060" w:type="dxa"/>
            <w:vAlign w:val="bottom"/>
          </w:tcPr>
          <w:p>
            <w:pPr>
              <w:spacing w:after="0"/>
              <w:rPr>
                <w:sz w:val="20"/>
                <w:szCs w:val="20"/>
                <w:color w:val="auto"/>
              </w:rPr>
            </w:pPr>
            <w:r>
              <w:rPr>
                <w:rFonts w:ascii="Times New Roman" w:cs="Times New Roman" w:eastAsia="Times New Roman" w:hAnsi="Times New Roman"/>
                <w:sz w:val="20"/>
                <w:szCs w:val="20"/>
                <w:color w:val="auto"/>
              </w:rPr>
              <w:t>Schedule H, Line 4a - Schedule of Delinquent Participant Contributions for the Year Ended December 31, 2025</w:t>
            </w:r>
          </w:p>
        </w:tc>
        <w:tc>
          <w:tcPr>
            <w:tcW w:w="2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89"/>
              </w:rPr>
              <w:t>13</w:t>
            </w:r>
          </w:p>
        </w:tc>
        <w:tc>
          <w:tcPr>
            <w:tcW w:w="0" w:type="dxa"/>
            <w:vAlign w:val="bottom"/>
          </w:tcPr>
          <w:p>
            <w:pPr>
              <w:spacing w:after="0"/>
              <w:rPr>
                <w:sz w:val="1"/>
                <w:szCs w:val="1"/>
                <w:color w:val="auto"/>
              </w:rPr>
            </w:pPr>
          </w:p>
        </w:tc>
      </w:tr>
      <w:tr>
        <w:trPr>
          <w:trHeight w:val="378"/>
        </w:trPr>
        <w:tc>
          <w:tcPr>
            <w:tcW w:w="10060" w:type="dxa"/>
            <w:vAlign w:val="bottom"/>
          </w:tcPr>
          <w:p>
            <w:pPr>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 as of December 31, 2025</w:t>
            </w: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w w:val="89"/>
              </w:rPr>
              <w:t>14</w:t>
            </w:r>
          </w:p>
        </w:tc>
        <w:tc>
          <w:tcPr>
            <w:tcW w:w="0" w:type="dxa"/>
            <w:vAlign w:val="bottom"/>
          </w:tcPr>
          <w:p>
            <w:pPr>
              <w:spacing w:after="0"/>
              <w:rPr>
                <w:sz w:val="1"/>
                <w:szCs w:val="1"/>
                <w:color w:val="auto"/>
              </w:rPr>
            </w:pPr>
          </w:p>
        </w:tc>
      </w:tr>
      <w:tr>
        <w:trPr>
          <w:trHeight w:val="175"/>
        </w:trPr>
        <w:tc>
          <w:tcPr>
            <w:tcW w:w="10060" w:type="dxa"/>
            <w:vAlign w:val="bottom"/>
          </w:tcPr>
          <w:p>
            <w:pPr>
              <w:spacing w:after="0"/>
              <w:rPr>
                <w:sz w:val="14"/>
                <w:szCs w:val="14"/>
                <w:color w:val="auto"/>
              </w:rPr>
            </w:pPr>
          </w:p>
        </w:tc>
        <w:tc>
          <w:tcPr>
            <w:tcW w:w="20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7"/>
        </w:trPr>
        <w:tc>
          <w:tcPr>
            <w:tcW w:w="10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2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89"/>
              </w:rPr>
              <w:t>15</w:t>
            </w:r>
          </w:p>
        </w:tc>
        <w:tc>
          <w:tcPr>
            <w:tcW w:w="0" w:type="dxa"/>
            <w:vAlign w:val="bottom"/>
          </w:tcPr>
          <w:p>
            <w:pPr>
              <w:spacing w:after="0"/>
              <w:rPr>
                <w:sz w:val="1"/>
                <w:szCs w:val="1"/>
                <w:color w:val="auto"/>
              </w:rPr>
            </w:pPr>
          </w:p>
        </w:tc>
      </w:tr>
      <w:tr>
        <w:trPr>
          <w:trHeight w:val="553"/>
        </w:trPr>
        <w:tc>
          <w:tcPr>
            <w:tcW w:w="10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Index</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1333500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40" w:top="1422" w:right="1299" w:bottom="1440" w:gutter="0" w:footer="0" w:header="0"/>
        </w:sectPr>
      </w:pPr>
    </w:p>
    <w:bookmarkStart w:id="2" w:name="page3"/>
    <w:bookmarkEnd w:id="2"/>
    <w:p>
      <w:pPr>
        <w:spacing w:after="0" w:line="19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b w:val="1"/>
          <w:bCs w:val="1"/>
          <w:u w:val="single" w:color="auto"/>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Benefit Plan Committee, Plan Administrator, and</w:t>
      </w:r>
    </w:p>
    <w:p>
      <w:pPr>
        <w:spacing w:after="0" w:line="28" w:lineRule="exact"/>
        <w:rPr>
          <w:sz w:val="20"/>
          <w:szCs w:val="20"/>
          <w:color w:val="auto"/>
        </w:rPr>
      </w:pPr>
    </w:p>
    <w:p>
      <w:pPr>
        <w:ind w:right="5360"/>
        <w:spacing w:after="0" w:line="353" w:lineRule="auto"/>
        <w:rPr>
          <w:sz w:val="20"/>
          <w:szCs w:val="20"/>
          <w:color w:val="auto"/>
        </w:rPr>
      </w:pPr>
      <w:r>
        <w:rPr>
          <w:rFonts w:ascii="Times New Roman" w:cs="Times New Roman" w:eastAsia="Times New Roman" w:hAnsi="Times New Roman"/>
          <w:sz w:val="22"/>
          <w:szCs w:val="22"/>
          <w:color w:val="auto"/>
        </w:rPr>
        <w:t xml:space="preserve">Plan Participants of the PROG Holdings Employee Retirement Plan </w:t>
      </w:r>
      <w:r>
        <w:rPr>
          <w:rFonts w:ascii="Times New Roman" w:cs="Times New Roman" w:eastAsia="Times New Roman" w:hAnsi="Times New Roman"/>
          <w:sz w:val="22"/>
          <w:szCs w:val="22"/>
          <w:b w:val="1"/>
          <w:bCs w:val="1"/>
          <w:color w:val="auto"/>
        </w:rPr>
        <w:t>Opinion on the Financial Statements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We have audited the accompanying statements of net assets available for benefits of the PROG Holdings Employee Retirement Plan (the Plan), as of December 31, 2025 and 2024, the related statements of changes in net assets available for benefits for the years then ended, and the related notes and schedules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Basis for Opinion</w:t>
      </w:r>
    </w:p>
    <w:p>
      <w:pPr>
        <w:spacing w:after="0" w:line="8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Supplemental Information</w:t>
      </w:r>
    </w:p>
    <w:p>
      <w:pPr>
        <w:spacing w:after="0" w:line="1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supplemental information contained in the schedule of delinquent participant contributions for the year ended December 31, 2025, and the schedule of assets (held at end of year) as of December 31, 2025 have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CARR, RIGGS &amp; INGRAM, L.L.C.</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have served as the Plan's auditor since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Atlanta, Georgia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22"/>
          <w:szCs w:val="22"/>
          <w:color w:val="auto"/>
        </w:rPr>
        <w:t>PROG Holdings Employee Retirement Plan</w:t>
      </w:r>
    </w:p>
    <w:p>
      <w:pPr>
        <w:spacing w:after="0" w:line="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Statements of Net Assets Available for Benefits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9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December 31,</w:t>
            </w:r>
          </w:p>
        </w:tc>
        <w:tc>
          <w:tcPr>
            <w:tcW w:w="1380" w:type="dxa"/>
            <w:vAlign w:val="bottom"/>
            <w:tcBorders>
              <w:bottom w:val="single" w:sz="8" w:color="auto"/>
            </w:tcBorders>
          </w:tcPr>
          <w:p>
            <w:pPr>
              <w:spacing w:after="0"/>
              <w:rPr>
                <w:sz w:val="24"/>
                <w:szCs w:val="24"/>
                <w:color w:val="auto"/>
              </w:rPr>
            </w:pPr>
          </w:p>
        </w:tc>
      </w:tr>
      <w:tr>
        <w:trPr>
          <w:trHeight w:val="264"/>
        </w:trPr>
        <w:tc>
          <w:tcPr>
            <w:tcW w:w="69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22"/>
                <w:szCs w:val="22"/>
                <w:b w:val="1"/>
                <w:bCs w:val="1"/>
                <w:color w:val="auto"/>
              </w:rPr>
              <w:t>2025</w:t>
            </w: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b w:val="1"/>
                <w:bCs w:val="1"/>
                <w:color w:val="auto"/>
              </w:rPr>
              <w:t>2024</w:t>
            </w:r>
          </w:p>
        </w:tc>
      </w:tr>
      <w:tr>
        <w:trPr>
          <w:trHeight w:val="250"/>
        </w:trPr>
        <w:tc>
          <w:tcPr>
            <w:tcW w:w="692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22"/>
                <w:szCs w:val="22"/>
                <w:b w:val="1"/>
                <w:bCs w:val="1"/>
                <w:color w:val="auto"/>
              </w:rPr>
              <w:t>Assets</w:t>
            </w:r>
          </w:p>
        </w:tc>
        <w:tc>
          <w:tcPr>
            <w:tcW w:w="4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70"/>
        </w:trPr>
        <w:tc>
          <w:tcPr>
            <w:tcW w:w="69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Investments at Fair Value</w:t>
            </w:r>
          </w:p>
        </w:tc>
        <w:tc>
          <w:tcPr>
            <w:tcW w:w="4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1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84,380,743</w:t>
            </w:r>
          </w:p>
        </w:tc>
        <w:tc>
          <w:tcPr>
            <w:tcW w:w="7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68,565,542</w:t>
            </w:r>
          </w:p>
        </w:tc>
      </w:tr>
      <w:tr>
        <w:trPr>
          <w:trHeight w:val="270"/>
        </w:trPr>
        <w:tc>
          <w:tcPr>
            <w:tcW w:w="69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70"/>
        </w:trPr>
        <w:tc>
          <w:tcPr>
            <w:tcW w:w="69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Receivables:</w:t>
            </w:r>
          </w:p>
        </w:tc>
        <w:tc>
          <w:tcPr>
            <w:tcW w:w="4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0"/>
        </w:trPr>
        <w:tc>
          <w:tcPr>
            <w:tcW w:w="6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2"/>
                <w:szCs w:val="22"/>
                <w:color w:val="auto"/>
              </w:rPr>
              <w:t>Participant Receivables</w:t>
            </w:r>
          </w:p>
        </w:tc>
        <w:tc>
          <w:tcPr>
            <w:tcW w:w="4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2,013</w:t>
            </w:r>
          </w:p>
        </w:tc>
        <w:tc>
          <w:tcPr>
            <w:tcW w:w="7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69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Employer Receivables</w:t>
            </w:r>
          </w:p>
        </w:tc>
        <w:tc>
          <w:tcPr>
            <w:tcW w:w="480" w:type="dxa"/>
            <w:vAlign w:val="bottom"/>
          </w:tcPr>
          <w:p>
            <w:pPr>
              <w:spacing w:after="0"/>
              <w:rPr>
                <w:sz w:val="23"/>
                <w:szCs w:val="23"/>
                <w:color w:val="auto"/>
              </w:rPr>
            </w:pPr>
          </w:p>
        </w:tc>
        <w:tc>
          <w:tcPr>
            <w:tcW w:w="1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141,499</w:t>
            </w:r>
          </w:p>
        </w:tc>
        <w:tc>
          <w:tcPr>
            <w:tcW w:w="7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127,959</w:t>
            </w:r>
          </w:p>
        </w:tc>
      </w:tr>
      <w:tr>
        <w:trPr>
          <w:trHeight w:val="270"/>
        </w:trPr>
        <w:tc>
          <w:tcPr>
            <w:tcW w:w="6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2"/>
                <w:szCs w:val="22"/>
                <w:color w:val="auto"/>
              </w:rPr>
              <w:t>Notes Receivable from Participants</w:t>
            </w:r>
          </w:p>
        </w:tc>
        <w:tc>
          <w:tcPr>
            <w:tcW w:w="4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1,136,583</w:t>
            </w:r>
          </w:p>
        </w:tc>
        <w:tc>
          <w:tcPr>
            <w:tcW w:w="7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907,753</w:t>
            </w:r>
          </w:p>
        </w:tc>
      </w:tr>
      <w:tr>
        <w:trPr>
          <w:trHeight w:val="263"/>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Total Receivables</w:t>
            </w:r>
          </w:p>
        </w:tc>
        <w:tc>
          <w:tcPr>
            <w:tcW w:w="4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1,280,095</w:t>
            </w: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1,035,712</w:t>
            </w:r>
          </w:p>
        </w:tc>
      </w:tr>
      <w:tr>
        <w:trPr>
          <w:trHeight w:val="250"/>
        </w:trPr>
        <w:tc>
          <w:tcPr>
            <w:tcW w:w="69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70"/>
        </w:trPr>
        <w:tc>
          <w:tcPr>
            <w:tcW w:w="69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 Assets Available for Benefits</w:t>
            </w:r>
          </w:p>
        </w:tc>
        <w:tc>
          <w:tcPr>
            <w:tcW w:w="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85,660,838</w:t>
            </w:r>
          </w:p>
        </w:tc>
        <w:tc>
          <w:tcPr>
            <w:tcW w:w="7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69,601,254</w:t>
            </w:r>
          </w:p>
        </w:tc>
      </w:tr>
      <w:tr>
        <w:trPr>
          <w:trHeight w:val="20"/>
        </w:trPr>
        <w:tc>
          <w:tcPr>
            <w:tcW w:w="6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247015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22"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22"/>
          <w:szCs w:val="22"/>
          <w:color w:val="auto"/>
        </w:rPr>
        <w:t>PROG Holdings Employee Retirement Plan</w:t>
      </w:r>
    </w:p>
    <w:p>
      <w:pPr>
        <w:spacing w:after="0" w:line="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Statements of Changes in Net Assets Available for Benefits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2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Year Ended December 31,</w:t>
            </w:r>
          </w:p>
        </w:tc>
      </w:tr>
      <w:tr>
        <w:trPr>
          <w:trHeight w:val="264"/>
        </w:trPr>
        <w:tc>
          <w:tcPr>
            <w:tcW w:w="72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5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22"/>
                <w:szCs w:val="22"/>
                <w:b w:val="1"/>
                <w:bCs w:val="1"/>
                <w:color w:val="auto"/>
              </w:rPr>
              <w:t>2024</w:t>
            </w:r>
          </w:p>
        </w:tc>
      </w:tr>
      <w:tr>
        <w:trPr>
          <w:trHeight w:val="250"/>
        </w:trPr>
        <w:tc>
          <w:tcPr>
            <w:tcW w:w="724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22"/>
                <w:szCs w:val="22"/>
                <w:b w:val="1"/>
                <w:bCs w:val="1"/>
                <w:color w:val="auto"/>
              </w:rPr>
              <w:t>Additions:</w:t>
            </w:r>
          </w:p>
        </w:tc>
        <w:tc>
          <w:tcPr>
            <w:tcW w:w="4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70"/>
        </w:trPr>
        <w:tc>
          <w:tcPr>
            <w:tcW w:w="7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Investment Income:</w:t>
            </w:r>
          </w:p>
        </w:tc>
        <w:tc>
          <w:tcPr>
            <w:tcW w:w="4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2"/>
                <w:szCs w:val="22"/>
                <w:color w:val="auto"/>
              </w:rPr>
              <w:t>Net Appreciation in Fair Value of Investments</w:t>
            </w:r>
          </w:p>
        </w:tc>
        <w:tc>
          <w:tcPr>
            <w:tcW w:w="4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9,206,458</w:t>
            </w:r>
          </w:p>
        </w:tc>
        <w:tc>
          <w:tcPr>
            <w:tcW w:w="5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6,740,532</w:t>
            </w:r>
          </w:p>
        </w:tc>
      </w:tr>
      <w:tr>
        <w:trPr>
          <w:trHeight w:val="270"/>
        </w:trPr>
        <w:tc>
          <w:tcPr>
            <w:tcW w:w="7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22"/>
                <w:szCs w:val="22"/>
                <w:color w:val="auto"/>
              </w:rPr>
              <w:t>Interest and Dividend Income</w:t>
            </w:r>
          </w:p>
        </w:tc>
        <w:tc>
          <w:tcPr>
            <w:tcW w:w="4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2,637,892</w:t>
            </w:r>
          </w:p>
        </w:tc>
        <w:tc>
          <w:tcPr>
            <w:tcW w:w="5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1,885,236</w:t>
            </w:r>
          </w:p>
        </w:tc>
      </w:tr>
      <w:tr>
        <w:trPr>
          <w:trHeight w:val="263"/>
        </w:trPr>
        <w:tc>
          <w:tcPr>
            <w:tcW w:w="7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color w:val="auto"/>
              </w:rPr>
              <w:t>Total Investment Income</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11,844,350</w:t>
            </w:r>
          </w:p>
        </w:tc>
        <w:tc>
          <w:tcPr>
            <w:tcW w:w="5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8,625,768</w:t>
            </w:r>
          </w:p>
        </w:tc>
      </w:tr>
      <w:tr>
        <w:trPr>
          <w:trHeight w:val="270"/>
        </w:trPr>
        <w:tc>
          <w:tcPr>
            <w:tcW w:w="7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Interest Income on Notes Receivable from Participants</w:t>
            </w:r>
          </w:p>
        </w:tc>
        <w:tc>
          <w:tcPr>
            <w:tcW w:w="44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89,065</w:t>
            </w:r>
          </w:p>
        </w:tc>
        <w:tc>
          <w:tcPr>
            <w:tcW w:w="5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57,511</w:t>
            </w:r>
          </w:p>
        </w:tc>
      </w:tr>
      <w:tr>
        <w:trPr>
          <w:trHeight w:val="270"/>
        </w:trPr>
        <w:tc>
          <w:tcPr>
            <w:tcW w:w="7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Contributions:</w:t>
            </w:r>
          </w:p>
        </w:tc>
        <w:tc>
          <w:tcPr>
            <w:tcW w:w="4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72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Employer</w:t>
            </w:r>
          </w:p>
        </w:tc>
        <w:tc>
          <w:tcPr>
            <w:tcW w:w="44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3,453,402</w:t>
            </w:r>
          </w:p>
        </w:tc>
        <w:tc>
          <w:tcPr>
            <w:tcW w:w="5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3,263,161</w:t>
            </w:r>
          </w:p>
        </w:tc>
      </w:tr>
      <w:tr>
        <w:trPr>
          <w:trHeight w:val="270"/>
        </w:trPr>
        <w:tc>
          <w:tcPr>
            <w:tcW w:w="7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22"/>
                <w:szCs w:val="22"/>
                <w:color w:val="auto"/>
              </w:rPr>
              <w:t>Participants</w:t>
            </w:r>
          </w:p>
        </w:tc>
        <w:tc>
          <w:tcPr>
            <w:tcW w:w="44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7,088,798</w:t>
            </w:r>
          </w:p>
        </w:tc>
        <w:tc>
          <w:tcPr>
            <w:tcW w:w="5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6,663,213</w:t>
            </w:r>
          </w:p>
        </w:tc>
      </w:tr>
      <w:tr>
        <w:trPr>
          <w:trHeight w:val="270"/>
        </w:trPr>
        <w:tc>
          <w:tcPr>
            <w:tcW w:w="72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22"/>
                <w:szCs w:val="22"/>
                <w:color w:val="auto"/>
              </w:rPr>
              <w:t>Rollovers</w:t>
            </w:r>
          </w:p>
        </w:tc>
        <w:tc>
          <w:tcPr>
            <w:tcW w:w="4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828,374</w:t>
            </w:r>
          </w:p>
        </w:tc>
        <w:tc>
          <w:tcPr>
            <w:tcW w:w="5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1,447,975</w:t>
            </w:r>
          </w:p>
        </w:tc>
      </w:tr>
      <w:tr>
        <w:trPr>
          <w:trHeight w:val="263"/>
        </w:trPr>
        <w:tc>
          <w:tcPr>
            <w:tcW w:w="7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color w:val="auto"/>
              </w:rPr>
              <w:t>Total Contributions</w:t>
            </w:r>
          </w:p>
        </w:tc>
        <w:tc>
          <w:tcPr>
            <w:tcW w:w="44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11,370,574</w:t>
            </w:r>
          </w:p>
        </w:tc>
        <w:tc>
          <w:tcPr>
            <w:tcW w:w="5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11,374,349</w:t>
            </w:r>
          </w:p>
        </w:tc>
      </w:tr>
      <w:tr>
        <w:trPr>
          <w:trHeight w:val="250"/>
        </w:trPr>
        <w:tc>
          <w:tcPr>
            <w:tcW w:w="7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2"/>
                <w:szCs w:val="22"/>
                <w:color w:val="auto"/>
              </w:rPr>
              <w:t>Total Additions</w:t>
            </w:r>
          </w:p>
        </w:tc>
        <w:tc>
          <w:tcPr>
            <w:tcW w:w="4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23,303,989</w:t>
            </w:r>
          </w:p>
        </w:tc>
        <w:tc>
          <w:tcPr>
            <w:tcW w:w="5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20,057,628</w:t>
            </w:r>
          </w:p>
        </w:tc>
      </w:tr>
      <w:tr>
        <w:trPr>
          <w:trHeight w:val="250"/>
        </w:trPr>
        <w:tc>
          <w:tcPr>
            <w:tcW w:w="7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Deductions:</w:t>
            </w:r>
          </w:p>
        </w:tc>
        <w:tc>
          <w:tcPr>
            <w:tcW w:w="4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7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Benefits Paid to Participants</w:t>
            </w:r>
          </w:p>
        </w:tc>
        <w:tc>
          <w:tcPr>
            <w:tcW w:w="44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7,202,639</w:t>
            </w:r>
          </w:p>
        </w:tc>
        <w:tc>
          <w:tcPr>
            <w:tcW w:w="5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10,324,278</w:t>
            </w:r>
          </w:p>
        </w:tc>
      </w:tr>
      <w:tr>
        <w:trPr>
          <w:trHeight w:val="270"/>
        </w:trPr>
        <w:tc>
          <w:tcPr>
            <w:tcW w:w="7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22"/>
                <w:szCs w:val="22"/>
                <w:color w:val="auto"/>
              </w:rPr>
              <w:t>Administrative Expenses</w:t>
            </w:r>
          </w:p>
        </w:tc>
        <w:tc>
          <w:tcPr>
            <w:tcW w:w="4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41,766</w:t>
            </w:r>
          </w:p>
        </w:tc>
        <w:tc>
          <w:tcPr>
            <w:tcW w:w="5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94,365</w:t>
            </w:r>
          </w:p>
        </w:tc>
      </w:tr>
      <w:tr>
        <w:trPr>
          <w:trHeight w:val="264"/>
        </w:trPr>
        <w:tc>
          <w:tcPr>
            <w:tcW w:w="7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22"/>
                <w:szCs w:val="22"/>
                <w:color w:val="auto"/>
              </w:rPr>
              <w:t>Total Deductions</w:t>
            </w:r>
          </w:p>
        </w:tc>
        <w:tc>
          <w:tcPr>
            <w:tcW w:w="4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7,244,405</w:t>
            </w:r>
          </w:p>
        </w:tc>
        <w:tc>
          <w:tcPr>
            <w:tcW w:w="5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10,418,643</w:t>
            </w:r>
          </w:p>
        </w:tc>
      </w:tr>
      <w:tr>
        <w:trPr>
          <w:trHeight w:val="250"/>
        </w:trPr>
        <w:tc>
          <w:tcPr>
            <w:tcW w:w="7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70"/>
        </w:trPr>
        <w:tc>
          <w:tcPr>
            <w:tcW w:w="72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22"/>
                <w:szCs w:val="22"/>
                <w:color w:val="auto"/>
              </w:rPr>
              <w:t>Net Increase</w:t>
            </w:r>
          </w:p>
        </w:tc>
        <w:tc>
          <w:tcPr>
            <w:tcW w:w="4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16,059,584</w:t>
            </w:r>
          </w:p>
        </w:tc>
        <w:tc>
          <w:tcPr>
            <w:tcW w:w="5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9,638,985</w:t>
            </w:r>
          </w:p>
        </w:tc>
      </w:tr>
      <w:tr>
        <w:trPr>
          <w:trHeight w:val="250"/>
        </w:trPr>
        <w:tc>
          <w:tcPr>
            <w:tcW w:w="7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70"/>
        </w:trPr>
        <w:tc>
          <w:tcPr>
            <w:tcW w:w="72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Net Assets Available for Benefits:</w:t>
            </w:r>
          </w:p>
        </w:tc>
        <w:tc>
          <w:tcPr>
            <w:tcW w:w="4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7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22"/>
                <w:szCs w:val="22"/>
                <w:color w:val="auto"/>
              </w:rPr>
              <w:t>Beginning of Year</w:t>
            </w:r>
          </w:p>
        </w:tc>
        <w:tc>
          <w:tcPr>
            <w:tcW w:w="4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69,601,254</w:t>
            </w:r>
          </w:p>
        </w:tc>
        <w:tc>
          <w:tcPr>
            <w:tcW w:w="5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59,962,269</w:t>
            </w:r>
          </w:p>
        </w:tc>
      </w:tr>
      <w:tr>
        <w:trPr>
          <w:trHeight w:val="263"/>
        </w:trPr>
        <w:tc>
          <w:tcPr>
            <w:tcW w:w="7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End of Year</w:t>
            </w: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85,660,838</w:t>
            </w:r>
          </w:p>
        </w:tc>
        <w:tc>
          <w:tcPr>
            <w:tcW w:w="5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69,601,254</w:t>
            </w:r>
          </w:p>
        </w:tc>
      </w:tr>
      <w:tr>
        <w:trPr>
          <w:trHeight w:val="20"/>
        </w:trPr>
        <w:tc>
          <w:tcPr>
            <w:tcW w:w="7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i w:val="1"/>
          <w:iCs w:val="1"/>
          <w:color w:val="auto"/>
        </w:rPr>
        <w:t>See accompanying notes to the financial statements.</w:t>
      </w:r>
    </w:p>
    <w:p>
      <w:pPr>
        <w:sectPr>
          <w:pgSz w:w="11900" w:h="16838" w:orient="portrait"/>
          <w:cols w:equalWidth="0" w:num="1">
            <w:col w:w="11220"/>
          </w:cols>
          <w:pgMar w:left="34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268605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22"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color w:val="auto"/>
        </w:rPr>
        <w:t>PROG Holdings Employee Retirement Plan</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2025 and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Description of the Plan</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following description of the PROG Holdings Employee Retirement Plan (the "Plan") is provided for general information purposes only. More complete information regarding the Plan may be found in the Plan document, which is available to all participants upon request.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Plan is a defined contribution plan subject to the provisions of the Employee Retirement Income Security Act of 1974, as amended ("ERISA") and covers substantially all employees of PROG Holdings, Inc. (the "Company" or "PROG Holdings") and its subsidiaries. The Plan is administered by the Employee Benefits Committee (the "Committee") appointed by the Compensation Committee of the Board of Directors of PROG Holdings.</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Prior to July 22, 2024, the trustee of the Plan was Charles Schwab &amp; Co., Inc., with Milliman, Inc. serving as the recordkeeper. On July 22, 2024, the Plan engaged Fidelity Management Trust Company to serve as the trustee for the Plan, with Fidelity Workplace Services, LLC as the recordkeeper. The transition of trustee and recordkeeping services did not result in any interruption of participant transactions or access to account balances, and all Plan assets were transferred in full to the new trustee.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Eligibility</w:t>
      </w:r>
    </w:p>
    <w:p>
      <w:pPr>
        <w:spacing w:after="0" w:line="11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Employees are eligible to participate in the Plan on the first day of the month following 30 days of employment, as defined in the Plan document.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Contributions</w:t>
      </w:r>
    </w:p>
    <w:p>
      <w:pPr>
        <w:spacing w:after="0" w:line="1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Participation in the Plan is voluntary. Participants may elect to make before-tax, Roth and/or after-tax contributions up to 75% of their annual compensation, as defined in the Plan document, in the form of a salary deferral, pursuant to Section 401(k) of the Internal Revenue Code (the "Code") and subject to the limitations contained therein. The aforementioned before-tax and Roth participant contributions were generally limited to a combined annual limit of $23,500 and $23,000 in 2025 and 2024, respectively. Catch up contributions are allowed in accordance with Plan provisions. After 90 days of service, the Company provides a safe harbor match equal to 100% of the first 3% and 50% of the next 2% of the elective before-tax and/or Roth deferral of annual compensation that a participant contributes to the Plan. Participants may also contribute ("rollover") amounts representing distributions from other qualified defined benefit or defined contribution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7" w:name="page8"/>
    <w:bookmarkEnd w:id="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Participant Accounts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Individual accounts are maintained for each participant. Participants direct their contributions and the Company's safe harbor matching contributions into various investment options offered by the Plan and can change their options on a daily basis, subject to certain insider trading rules with respect to investments into and out of the PROG Holdings, Inc. Common Stock Fund. Each participant's account is credited with the participant contributions, rollovers, the Company contributions, earnings and losses on the investments in their accounts and charged with specific transaction fees and allocated certain administrative and recordkeeping fees. The benefit to which a participant is entitled is the benefit that can be provided from the participant's vested account.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Participants are immediately vested in their contributions and earnings thereon.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Receivable from Participants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Participants may borrow from their account balances in accordance with Plan provisions. Loan amounts are limited to the lesser of $50,000 (reduced by the highest outstanding loan balance during the preceding twelve months) or 50% of the participant's vested account balance, with a minimum loan amount of $1,000. Loans generally must be repaid through payroll deductions over a period ranging from 12 to 60 months, or 15 years if used for the purchase of a principal residence. Loans bear interest at a rate equal to the Prime Rate plus 1% at origination. Participants are limited to one loan outstanding at any time. Loans are secured by the participant's account balance. Interest rates on outstanding loans as of December 31, 2025 and 2024 ranged from 4.25% to 9.50%. Principal and interest are paid ratably through payroll deductions. No allowance for credit losses has been recorded as of December 31, 2025 or 2024. Loans from merged plans are carried at the terms and conditions established by the predecessor plans.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Payment of Benefits</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Upon termination of employment, retirement, death, or disability, a participant (or beneficiary) is entitled to receive the vested portion of the participant's account balance in accordance with the Plan. Distributions may be made in a lump sum, in installments over a specified period, or through a direct rollover to an eligible retirement plan or individual retirement account, as elected by the participant (or beneficiary). Distribution of account balances may be deferred subject to applicable regulatory requirements; however, the Plan may require distributions of small balances, including automatic rollovers to an individual retirement account, in accordance with Plan provisions.</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In-service withdrawals are available in certain limited circumstances, as defined by the Plan. Hardship withdrawals are allowed for participants incurring an immediate financial need and who meet one of the specific circumstances defined in the Plan. Hardship withdrawals are strictly regulated by the Internal Revenue Service ("IRS"), and before requesting a hardship withdrawal, all requirements must be met in order for a request to be approved. The Plan is subject to required minimum distribution rules under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PROG Holdings, Inc. Common Stock Fund</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Plan invests in common stock of the Company through its Common Stock Fund. The Common Stock Fund may also hold cash or other short-term securities, although these are expected to be a small percentage of the fund. Dividends received by the Common Stock Fund are reinvested in Company common stock.</w:t>
      </w:r>
    </w:p>
    <w:p>
      <w:pPr>
        <w:spacing w:after="0" w:line="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Effective December 1, 2025, the Plan was amended to limit participant investment in Employer Stock. Participant investment elections into Employer Stock are limited to 10% of contributions, and exchanges of existing account balances into Employer Stock are also limited to 10%. Exchanges are not permitted if a participant's existing Employer Stock balance exceeds 10% of total account balance. Existing investment elections in place prior to the amendment remain unchanged until modified by the participant.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participant is entitled to exercise voting rights attributable to the shares of Company stock allocated to their account.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Participants also have the opportunity to direct the trustee whether they wish to participate in a tender or exchange offer.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Plan Termination</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Although it has not expressed any intent to do so, the Company has the right under the Plan to discontinue contributions at any time and to terminate the Plan subject to the provisions of ERISA. In the event of Plan termination (or permanent discontinuance of contributions to the Plan), all amounts credited to the accounts of the participants would become fully vested. The Plan's assets would be distributable to the participants in accordance with the respective values of their accounts.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Reclassification</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Certain amounts in the prior year financial statements have been reclassified to conform to the current year presentation. The reclassification relates to dividend income, which was previously included in Net Appreciation in Fair Value of Investments and is now presented within Interest and Dividend Income. This reclassification had no impact on total investment income or net assets available for benefits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Summary of Significant Accounting Policies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Basis of Presentation</w:t>
      </w:r>
    </w:p>
    <w:p>
      <w:pPr>
        <w:spacing w:after="0" w:line="11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accompanying financial statements of the Plan have been prepared on the accrual basis of accounting in accordance with accounting principles generally accepted in the United States of America.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Estimates</w:t>
      </w:r>
    </w:p>
    <w:p>
      <w:pPr>
        <w:spacing w:after="0" w:line="1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preparation of financial statements in conformity with United States generally accepted accounting principles requires management to make estimates that affect the amounts reported in the financial statements and accompanying notes.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Valuation of Investments and Income Recognition</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Investments are stated at fair value. Fair value is defined as the price that would be received to sell an asset or paid to transfer a liability in an orderly transaction between market participants at the measurement date (an exit price). Management of the Company determines the Plan's valuation policies utilizing information provided by the investment advisors and trustee. Refer to Note 3 for further discussion of fair value measurements.</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Purchases and sales of common stock are recorded on a trade-date basis. Interest income is recorded when received. Dividends on common stock are recorded on the ex-dividend date. Net appreciation in fair value of investments includes the Plan's gains and losses on investments bought and sold as well as held during the year.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Receivable from Participants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Notes receivable from participants are measured at their unpaid principal balance. Interest income on notes receivable from participants is recorded when it is received. No allowance for credit losses has been recorded as of December 31, 2025 and 2024. If a participant ceases to make loan repayments and the Plan Administrator deems the participant loan to be in default, the participant's loan balance is reduced and a benefit payment is recorded.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Payment of Benefits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Benefit payments are recorded when paid.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Expenses</w:t>
      </w:r>
    </w:p>
    <w:p>
      <w:pPr>
        <w:spacing w:after="0" w:line="1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Certain expenses of maintaining the Plan are paid directly by the Company and are excluded from the financial statements. The Company does not expect to be reimbursed by the Plan for payment of these expenses. Additional administrative and recordkeeping fees are paid by the Plan, to service providers of the Plan, which qualify as party-in-interest transactions. Fees related to the administration of notes receivable from participants and distributions are charged directly to the participant's account and are included in administrative expenses on the statements of changes in net assets available for benefits. Investment related expenses are included in net change in fair value of investments on the statements of changes in net assets available for benefits. Some of the investment funds provide for a revenue sharing arrangement with the Plan in which fund expenses are credited to the Plan to pay for certain administrative expenses, such as record keeping and investment advisory fees.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Fair Value Measurements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Fair value is defined as the price that would be received to sell an asset or paid to transfer a liability in an orderly transaction between market participants at the measurement date (i.e., an exit price). The fair value hierarchy prioritizes the inputs to valuation techniques used to measure fair value. The hierarchy gives the highest priority to unadjusted quoted prices in active markets for identical assets and liabilities (Level 1) and the lowest priority to unobservable inputs (Level 3). The three levels of the fair value hierarchy are described below:</w:t>
      </w:r>
    </w:p>
    <w:p>
      <w:pPr>
        <w:spacing w:after="0" w:line="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Level 1 – Unadjusted quoted prices in active markets that are accessible to the reporting entity at the measurement date for identical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ind w:right="20"/>
        <w:spacing w:after="0" w:line="271" w:lineRule="auto"/>
        <w:rPr>
          <w:sz w:val="20"/>
          <w:szCs w:val="20"/>
          <w:color w:val="auto"/>
        </w:rPr>
      </w:pPr>
      <w:r>
        <w:rPr>
          <w:rFonts w:ascii="Times New Roman" w:cs="Times New Roman" w:eastAsia="Times New Roman" w:hAnsi="Times New Roman"/>
          <w:sz w:val="22"/>
          <w:szCs w:val="22"/>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50" w:lineRule="exact"/>
        <w:rPr>
          <w:sz w:val="20"/>
          <w:szCs w:val="20"/>
          <w:color w:val="auto"/>
        </w:rPr>
      </w:pPr>
    </w:p>
    <w:p>
      <w:pPr>
        <w:ind w:left="460" w:hanging="290"/>
        <w:spacing w:after="0"/>
        <w:tabs>
          <w:tab w:leader="none" w:pos="4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quoted prices for similar assets and liabilities in active markets</w:t>
      </w:r>
    </w:p>
    <w:p>
      <w:pPr>
        <w:spacing w:after="0" w:line="125" w:lineRule="exact"/>
        <w:rPr>
          <w:rFonts w:ascii="Times New Roman" w:cs="Times New Roman" w:eastAsia="Times New Roman" w:hAnsi="Times New Roman"/>
          <w:sz w:val="22"/>
          <w:szCs w:val="22"/>
          <w:color w:val="auto"/>
        </w:rPr>
      </w:pPr>
    </w:p>
    <w:p>
      <w:pPr>
        <w:ind w:left="460" w:hanging="290"/>
        <w:spacing w:after="0"/>
        <w:tabs>
          <w:tab w:leader="none" w:pos="4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quoted prices for identical or similar assets or liabilities in markets that are not active</w:t>
      </w:r>
    </w:p>
    <w:p>
      <w:pPr>
        <w:spacing w:after="0" w:line="111" w:lineRule="exact"/>
        <w:rPr>
          <w:rFonts w:ascii="Times New Roman" w:cs="Times New Roman" w:eastAsia="Times New Roman" w:hAnsi="Times New Roman"/>
          <w:sz w:val="22"/>
          <w:szCs w:val="22"/>
          <w:color w:val="auto"/>
        </w:rPr>
      </w:pPr>
    </w:p>
    <w:p>
      <w:pPr>
        <w:ind w:left="660" w:hanging="490"/>
        <w:spacing w:after="0" w:line="271" w:lineRule="auto"/>
        <w:tabs>
          <w:tab w:leader="none" w:pos="49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observable inputs other than quoted prices that are used in the valuation of the asset or liability (e.g., interest rate and yield curve quotes at commonly quoted intervals)</w:t>
      </w:r>
    </w:p>
    <w:p>
      <w:pPr>
        <w:spacing w:after="0" w:line="49" w:lineRule="exact"/>
        <w:rPr>
          <w:rFonts w:ascii="Times New Roman" w:cs="Times New Roman" w:eastAsia="Times New Roman" w:hAnsi="Times New Roman"/>
          <w:sz w:val="22"/>
          <w:szCs w:val="22"/>
          <w:color w:val="auto"/>
        </w:rPr>
      </w:pPr>
    </w:p>
    <w:p>
      <w:pPr>
        <w:ind w:left="460" w:hanging="290"/>
        <w:spacing w:after="0"/>
        <w:tabs>
          <w:tab w:leader="none" w:pos="4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inputs that are derived principally from or corroborated by observable market data by correlation or other means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Level 3 – Unobservable inputs for the asset or liability (i.e., supported by little or no market activity).</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Level 3 inputs include management's own assumption about the assumptions that market participants would use in pricing the asset or liability (including assumptions about risk).</w:t>
      </w:r>
    </w:p>
    <w:p>
      <w:pPr>
        <w:spacing w:after="0" w:line="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level in the fair value hierarchy within which the fair value measurement is classified is determined based on the lowest level input that is significant to the fair value measure in its entirety.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tables set forth by level, within the fair value hierarchy, the Plan's assets carried at fair value.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6"/>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Assets at Fair Value as of December 31, 2025</w:t>
            </w:r>
          </w:p>
        </w:tc>
        <w:tc>
          <w:tcPr>
            <w:tcW w:w="1400" w:type="dxa"/>
            <w:vAlign w:val="bottom"/>
            <w:tcBorders>
              <w:bottom w:val="single" w:sz="8" w:color="auto"/>
            </w:tcBorders>
          </w:tcPr>
          <w:p>
            <w:pPr>
              <w:spacing w:after="0"/>
              <w:rPr>
                <w:sz w:val="24"/>
                <w:szCs w:val="24"/>
                <w:color w:val="auto"/>
              </w:rPr>
            </w:pPr>
          </w:p>
        </w:tc>
      </w:tr>
      <w:tr>
        <w:trPr>
          <w:trHeight w:val="264"/>
        </w:trPr>
        <w:tc>
          <w:tcPr>
            <w:tcW w:w="38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2"/>
                <w:szCs w:val="22"/>
                <w:b w:val="1"/>
                <w:bCs w:val="1"/>
                <w:color w:val="auto"/>
              </w:rPr>
              <w:t>Level 3</w:t>
            </w:r>
          </w:p>
        </w:tc>
        <w:tc>
          <w:tcPr>
            <w:tcW w:w="5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22"/>
                <w:szCs w:val="22"/>
                <w:b w:val="1"/>
                <w:bCs w:val="1"/>
                <w:color w:val="auto"/>
              </w:rPr>
              <w:t>Total</w:t>
            </w:r>
          </w:p>
        </w:tc>
      </w:tr>
      <w:tr>
        <w:trPr>
          <w:trHeight w:val="237"/>
        </w:trPr>
        <w:tc>
          <w:tcPr>
            <w:tcW w:w="3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Mutual Funds</w:t>
            </w:r>
          </w:p>
        </w:tc>
        <w:tc>
          <w:tcPr>
            <w:tcW w:w="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81,132,650</w:t>
            </w:r>
          </w:p>
        </w:tc>
        <w:tc>
          <w:tcPr>
            <w:tcW w:w="4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22"/>
                <w:szCs w:val="22"/>
                <w:color w:val="auto"/>
              </w:rPr>
              <w:t>—</w:t>
            </w:r>
          </w:p>
        </w:tc>
        <w:tc>
          <w:tcPr>
            <w:tcW w:w="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14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rPr>
              <w:t>81,132,650</w:t>
            </w:r>
          </w:p>
        </w:tc>
      </w:tr>
      <w:tr>
        <w:trPr>
          <w:trHeight w:val="270"/>
        </w:trPr>
        <w:tc>
          <w:tcPr>
            <w:tcW w:w="3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Common Stock Fund</w:t>
            </w:r>
          </w:p>
        </w:tc>
        <w:tc>
          <w:tcPr>
            <w:tcW w:w="3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592,533</w:t>
            </w:r>
          </w:p>
        </w:tc>
        <w:tc>
          <w:tcPr>
            <w:tcW w:w="420" w:type="dxa"/>
            <w:vAlign w:val="bottom"/>
          </w:tcPr>
          <w:p>
            <w:pPr>
              <w:spacing w:after="0"/>
              <w:rPr>
                <w:sz w:val="23"/>
                <w:szCs w:val="23"/>
                <w:color w:val="auto"/>
              </w:rPr>
            </w:pPr>
          </w:p>
        </w:tc>
        <w:tc>
          <w:tcPr>
            <w:tcW w:w="1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3"/>
                <w:szCs w:val="23"/>
                <w:color w:val="auto"/>
              </w:rPr>
            </w:pPr>
          </w:p>
        </w:tc>
        <w:tc>
          <w:tcPr>
            <w:tcW w:w="1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w:t>
            </w:r>
          </w:p>
        </w:tc>
        <w:tc>
          <w:tcPr>
            <w:tcW w:w="52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592,533</w:t>
            </w:r>
          </w:p>
        </w:tc>
      </w:tr>
      <w:tr>
        <w:trPr>
          <w:trHeight w:val="27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Money Market Deposit Account</w:t>
            </w:r>
          </w:p>
        </w:tc>
        <w:tc>
          <w:tcPr>
            <w:tcW w:w="3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2,655,560</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22"/>
                <w:szCs w:val="22"/>
                <w:color w:val="auto"/>
              </w:rPr>
              <w:t>—</w:t>
            </w:r>
          </w:p>
        </w:tc>
        <w:tc>
          <w:tcPr>
            <w:tcW w:w="5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rPr>
              <w:t>2,655,560</w:t>
            </w:r>
          </w:p>
        </w:tc>
      </w:tr>
      <w:tr>
        <w:trPr>
          <w:trHeight w:val="263"/>
        </w:trPr>
        <w:tc>
          <w:tcPr>
            <w:tcW w:w="3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Investments at Fair Value</w:t>
            </w:r>
          </w:p>
        </w:tc>
        <w:tc>
          <w:tcPr>
            <w:tcW w:w="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84,380,743</w:t>
            </w:r>
          </w:p>
        </w:tc>
        <w:tc>
          <w:tcPr>
            <w:tcW w:w="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4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22"/>
                <w:szCs w:val="22"/>
                <w:color w:val="auto"/>
              </w:rPr>
              <w:t>—</w:t>
            </w:r>
          </w:p>
        </w:tc>
        <w:tc>
          <w:tcPr>
            <w:tcW w:w="5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84,380,743</w:t>
            </w:r>
          </w:p>
        </w:tc>
      </w:tr>
      <w:tr>
        <w:trPr>
          <w:trHeight w:val="20"/>
        </w:trPr>
        <w:tc>
          <w:tcPr>
            <w:tcW w:w="3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6"/>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Assets at Fair Value as of December 31, 2024</w:t>
            </w:r>
          </w:p>
        </w:tc>
        <w:tc>
          <w:tcPr>
            <w:tcW w:w="1400" w:type="dxa"/>
            <w:vAlign w:val="bottom"/>
            <w:tcBorders>
              <w:bottom w:val="single" w:sz="8" w:color="auto"/>
            </w:tcBorders>
          </w:tcPr>
          <w:p>
            <w:pPr>
              <w:spacing w:after="0"/>
              <w:rPr>
                <w:sz w:val="24"/>
                <w:szCs w:val="24"/>
                <w:color w:val="auto"/>
              </w:rPr>
            </w:pPr>
          </w:p>
        </w:tc>
      </w:tr>
      <w:tr>
        <w:trPr>
          <w:trHeight w:val="264"/>
        </w:trPr>
        <w:tc>
          <w:tcPr>
            <w:tcW w:w="38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2"/>
                <w:szCs w:val="22"/>
                <w:b w:val="1"/>
                <w:bCs w:val="1"/>
                <w:color w:val="auto"/>
              </w:rPr>
              <w:t>Level 3</w:t>
            </w:r>
          </w:p>
        </w:tc>
        <w:tc>
          <w:tcPr>
            <w:tcW w:w="5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22"/>
                <w:szCs w:val="22"/>
                <w:b w:val="1"/>
                <w:bCs w:val="1"/>
                <w:color w:val="auto"/>
              </w:rPr>
              <w:t>Total</w:t>
            </w:r>
          </w:p>
        </w:tc>
      </w:tr>
      <w:tr>
        <w:trPr>
          <w:trHeight w:val="236"/>
        </w:trPr>
        <w:tc>
          <w:tcPr>
            <w:tcW w:w="3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Mutual Funds</w:t>
            </w:r>
          </w:p>
        </w:tc>
        <w:tc>
          <w:tcPr>
            <w:tcW w:w="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65,900,963</w:t>
            </w:r>
          </w:p>
        </w:tc>
        <w:tc>
          <w:tcPr>
            <w:tcW w:w="4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22"/>
                <w:szCs w:val="22"/>
                <w:color w:val="auto"/>
              </w:rPr>
              <w:t>—</w:t>
            </w:r>
          </w:p>
        </w:tc>
        <w:tc>
          <w:tcPr>
            <w:tcW w:w="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14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rPr>
              <w:t>65,900,963</w:t>
            </w:r>
          </w:p>
        </w:tc>
      </w:tr>
      <w:tr>
        <w:trPr>
          <w:trHeight w:val="270"/>
        </w:trPr>
        <w:tc>
          <w:tcPr>
            <w:tcW w:w="3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Common Stock Fund</w:t>
            </w:r>
          </w:p>
        </w:tc>
        <w:tc>
          <w:tcPr>
            <w:tcW w:w="3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800,029</w:t>
            </w:r>
          </w:p>
        </w:tc>
        <w:tc>
          <w:tcPr>
            <w:tcW w:w="420" w:type="dxa"/>
            <w:vAlign w:val="bottom"/>
          </w:tcPr>
          <w:p>
            <w:pPr>
              <w:spacing w:after="0"/>
              <w:rPr>
                <w:sz w:val="23"/>
                <w:szCs w:val="23"/>
                <w:color w:val="auto"/>
              </w:rPr>
            </w:pPr>
          </w:p>
        </w:tc>
        <w:tc>
          <w:tcPr>
            <w:tcW w:w="1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3"/>
                <w:szCs w:val="23"/>
                <w:color w:val="auto"/>
              </w:rPr>
            </w:pPr>
          </w:p>
        </w:tc>
        <w:tc>
          <w:tcPr>
            <w:tcW w:w="1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w:t>
            </w:r>
          </w:p>
        </w:tc>
        <w:tc>
          <w:tcPr>
            <w:tcW w:w="52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800,029</w:t>
            </w:r>
          </w:p>
        </w:tc>
      </w:tr>
      <w:tr>
        <w:trPr>
          <w:trHeight w:val="27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Money Market Deposit Account</w:t>
            </w:r>
          </w:p>
        </w:tc>
        <w:tc>
          <w:tcPr>
            <w:tcW w:w="3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1,864,550</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22"/>
                <w:szCs w:val="22"/>
                <w:color w:val="auto"/>
              </w:rPr>
              <w:t>—</w:t>
            </w:r>
          </w:p>
        </w:tc>
        <w:tc>
          <w:tcPr>
            <w:tcW w:w="5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rPr>
              <w:t>1,864,550</w:t>
            </w:r>
          </w:p>
        </w:tc>
      </w:tr>
      <w:tr>
        <w:trPr>
          <w:trHeight w:val="263"/>
        </w:trPr>
        <w:tc>
          <w:tcPr>
            <w:tcW w:w="3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Investments at Fair Value</w:t>
            </w:r>
          </w:p>
        </w:tc>
        <w:tc>
          <w:tcPr>
            <w:tcW w:w="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68,565,542</w:t>
            </w:r>
          </w:p>
        </w:tc>
        <w:tc>
          <w:tcPr>
            <w:tcW w:w="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4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22"/>
                <w:szCs w:val="22"/>
                <w:color w:val="auto"/>
              </w:rPr>
              <w:t>—</w:t>
            </w:r>
          </w:p>
        </w:tc>
        <w:tc>
          <w:tcPr>
            <w:tcW w:w="5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68,565,542</w:t>
            </w:r>
          </w:p>
        </w:tc>
      </w:tr>
      <w:tr>
        <w:trPr>
          <w:trHeight w:val="20"/>
        </w:trPr>
        <w:tc>
          <w:tcPr>
            <w:tcW w:w="3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22"/>
          <w:szCs w:val="22"/>
          <w:color w:val="auto"/>
        </w:rPr>
        <w:t>Investments in mutual funds, common stock and the money market deposit account are stated at quoted market prices for the identical security in an active market (Level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1" w:name="page12"/>
    <w:bookmarkEnd w:id="1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Tax Status</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Effective July 22, 2024, the Plan adopted a non-standardized pre-approved plan sponsored by Fidelity Management &amp; Research Company, LLC. The non-standardized pre-approved plan sponsor received an opinion letter from the IRS dated June 30, 2020, stating that the pre-approved plan and related trust are designed in accordance with the applicable requirements of the Code. The pre-approved plan has been amended since receiving the opinion letter. However, the Plan Administrator believes the Plan is currently designed and being operated in compliance with the applicable requirements of the Code. Accordingly, no provision for federal income tax has been recorded.</w:t>
      </w:r>
    </w:p>
    <w:p>
      <w:pPr>
        <w:spacing w:after="0" w:line="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United States generally accepted accounting principles require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2025 and 2024, there are no uncertain positions taken or expected to be taken. The Plan has recognized no interest or penalties related to uncertain tax positions. The Plan is subject to routine audits by taxing jurisdictions; however, there are currently no audits for any tax periods in progress.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Transactions With Parties-in-Interest</w:t>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Plan's investments in the Vanguard Mutual Fund Accounts and Money Market Deposit Accounts are managed by the Vanguard Group, which is a beneficial owner of greater than 5% of the Company's common stock. The Plan also has investments in Fidelity Mutual Fund Accounts that are managed by Fidelity Management &amp; Research Company, which is an affiliate of the trustee of the Plan. Therefore, these transactions qualify as party-in-interest transactions. These transactions are exempt from the prohibited transaction rules of ERISA pursuant to statutory exemptions and applicable regulations.</w:t>
      </w:r>
    </w:p>
    <w:p>
      <w:pPr>
        <w:spacing w:after="0" w:line="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Plan held 20,092 and 18,931 shares of the Company's common stock valued at $592,533 and $800,029 at December 31, 2025 and 2024,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Risks and Uncertainties</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Plan invests in various investment securities, including the Company's common stock. Investment securities are exposed to various risks, such as interest rate, currency,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Market risks include United States and global events which could impact the value of Plan investments. Such events would include healthcare crises, international conflicts, supply chain disruptions, global monetary policy decisions, significant exogenous economic influences, elevated rates of inflation or interest for extended periods, significant cybersecurity attacks,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Subsequent Events</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connection with the Company's acquisition of P-Squared, LLC and its subsidiaries ("Purchasing Power") on January 2, 2026, the Plan received rollover contributions totaling $11.9 million during March 2026, subsequent to the December 31, 2025 plan year-end. These rollovers consisted of $11.6 million in traditional (pre-tax) rollover contributions and $0.3 million in Roth rollover contributions from Purchasing Power employees who became eligible participants in the Plan.</w:t>
      </w:r>
    </w:p>
    <w:p>
      <w:pPr>
        <w:spacing w:after="0" w:line="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Management has evaluated subsequent events through June 25, 2026 and has determined that, other than the matter described above, no additional events have occurred that would require recognition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color w:val="auto"/>
        </w:rPr>
        <w:t>PROG Holdings Employee Retirement Plan</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H, Line 4a – Schedule of Delinquent Participant Contributions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EIN #85-2484385 Plan #001</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the Year Ended December 31, 2025</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Participant Contributions Transferred Late</w:t>
            </w:r>
          </w:p>
        </w:tc>
        <w:tc>
          <w:tcPr>
            <w:tcW w:w="7680" w:type="dxa"/>
            <w:vAlign w:val="bottom"/>
            <w:gridSpan w:val="4"/>
            <w:vMerge w:val="restart"/>
          </w:tcPr>
          <w:p>
            <w:pPr>
              <w:ind w:left="1540"/>
              <w:spacing w:after="0"/>
              <w:rPr>
                <w:sz w:val="20"/>
                <w:szCs w:val="20"/>
                <w:color w:val="auto"/>
              </w:rPr>
            </w:pPr>
            <w:r>
              <w:rPr>
                <w:rFonts w:ascii="Times New Roman" w:cs="Times New Roman" w:eastAsia="Times New Roman" w:hAnsi="Times New Roman"/>
                <w:sz w:val="18"/>
                <w:szCs w:val="18"/>
                <w:b w:val="1"/>
                <w:bCs w:val="1"/>
                <w:color w:val="auto"/>
              </w:rPr>
              <w:t>Totals that Constitute Nonexempt Prohibited Transactions</w:t>
            </w:r>
          </w:p>
        </w:tc>
        <w:tc>
          <w:tcPr>
            <w:tcW w:w="0" w:type="dxa"/>
            <w:vAlign w:val="bottom"/>
          </w:tcPr>
          <w:p>
            <w:pPr>
              <w:spacing w:after="0"/>
              <w:rPr>
                <w:sz w:val="1"/>
                <w:szCs w:val="1"/>
                <w:color w:val="auto"/>
              </w:rPr>
            </w:pPr>
          </w:p>
        </w:tc>
      </w:tr>
      <w:tr>
        <w:trPr>
          <w:trHeight w:val="238"/>
        </w:trPr>
        <w:tc>
          <w:tcPr>
            <w:tcW w:w="10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8"/>
              </w:rPr>
              <w:t>to Plan</w:t>
            </w:r>
          </w:p>
        </w:tc>
        <w:tc>
          <w:tcPr>
            <w:tcW w:w="768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1020" w:type="dxa"/>
            <w:vAlign w:val="bottom"/>
            <w:shd w:val="clear" w:color="auto" w:fill="CCEEFF"/>
          </w:tcPr>
          <w:p>
            <w:pPr>
              <w:spacing w:after="0"/>
              <w:rPr>
                <w:sz w:val="14"/>
                <w:szCs w:val="14"/>
                <w:color w:val="auto"/>
              </w:rPr>
            </w:pPr>
          </w:p>
        </w:tc>
        <w:tc>
          <w:tcPr>
            <w:tcW w:w="25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9"/>
              </w:rPr>
              <w:t>Check Here if Late</w:t>
            </w:r>
          </w:p>
        </w:tc>
        <w:tc>
          <w:tcPr>
            <w:tcW w:w="1820" w:type="dxa"/>
            <w:vAlign w:val="bottom"/>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Contributions Not</w:t>
            </w:r>
          </w:p>
        </w:tc>
        <w:tc>
          <w:tcPr>
            <w:tcW w:w="18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9"/>
              </w:rPr>
              <w:t>Contributions</w:t>
            </w:r>
          </w:p>
        </w:tc>
        <w:tc>
          <w:tcPr>
            <w:tcW w:w="2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Contributions Pending</w:t>
            </w:r>
          </w:p>
        </w:tc>
        <w:tc>
          <w:tcPr>
            <w:tcW w:w="196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8"/>
              </w:rPr>
              <w:t>Total Fully Corrected</w:t>
            </w:r>
          </w:p>
        </w:tc>
        <w:tc>
          <w:tcPr>
            <w:tcW w:w="0" w:type="dxa"/>
            <w:vAlign w:val="bottom"/>
          </w:tcPr>
          <w:p>
            <w:pPr>
              <w:spacing w:after="0"/>
              <w:rPr>
                <w:sz w:val="1"/>
                <w:szCs w:val="1"/>
                <w:color w:val="auto"/>
              </w:rPr>
            </w:pPr>
          </w:p>
        </w:tc>
      </w:tr>
      <w:tr>
        <w:trPr>
          <w:trHeight w:val="186"/>
        </w:trPr>
        <w:tc>
          <w:tcPr>
            <w:tcW w:w="10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540" w:type="dxa"/>
            <w:vAlign w:val="bottom"/>
            <w:shd w:val="clear" w:color="auto" w:fill="CCEEFF"/>
          </w:tcPr>
          <w:p>
            <w:pPr>
              <w:jc w:val="center"/>
              <w:ind w:left="10"/>
              <w:spacing w:after="0" w:line="186" w:lineRule="exact"/>
              <w:rPr>
                <w:sz w:val="20"/>
                <w:szCs w:val="20"/>
                <w:color w:val="auto"/>
              </w:rPr>
            </w:pPr>
            <w:r>
              <w:rPr>
                <w:rFonts w:ascii="Times New Roman" w:cs="Times New Roman" w:eastAsia="Times New Roman" w:hAnsi="Times New Roman"/>
                <w:sz w:val="18"/>
                <w:szCs w:val="18"/>
                <w:b w:val="1"/>
                <w:bCs w:val="1"/>
                <w:color w:val="auto"/>
              </w:rPr>
              <w:t>Participant Loan</w:t>
            </w:r>
          </w:p>
        </w:tc>
        <w:tc>
          <w:tcPr>
            <w:tcW w:w="1820" w:type="dxa"/>
            <w:vAlign w:val="bottom"/>
            <w:vMerge w:val="continue"/>
            <w:shd w:val="clear" w:color="auto" w:fill="CCEEFF"/>
          </w:tcPr>
          <w:p>
            <w:pPr>
              <w:spacing w:after="0"/>
              <w:rPr>
                <w:sz w:val="16"/>
                <w:szCs w:val="16"/>
                <w:color w:val="auto"/>
              </w:rPr>
            </w:pPr>
          </w:p>
        </w:tc>
        <w:tc>
          <w:tcPr>
            <w:tcW w:w="1840" w:type="dxa"/>
            <w:vAlign w:val="bottom"/>
            <w:shd w:val="clear" w:color="auto" w:fill="CCEEFF"/>
          </w:tcPr>
          <w:p>
            <w:pPr>
              <w:jc w:val="center"/>
              <w:ind w:left="10"/>
              <w:spacing w:after="0" w:line="186" w:lineRule="exact"/>
              <w:rPr>
                <w:sz w:val="20"/>
                <w:szCs w:val="20"/>
                <w:color w:val="auto"/>
              </w:rPr>
            </w:pPr>
            <w:r>
              <w:rPr>
                <w:rFonts w:ascii="Times New Roman" w:cs="Times New Roman" w:eastAsia="Times New Roman" w:hAnsi="Times New Roman"/>
                <w:sz w:val="18"/>
                <w:szCs w:val="18"/>
                <w:b w:val="1"/>
                <w:bCs w:val="1"/>
                <w:color w:val="auto"/>
                <w:w w:val="99"/>
              </w:rPr>
              <w:t>Corrected Outside</w:t>
            </w:r>
          </w:p>
        </w:tc>
        <w:tc>
          <w:tcPr>
            <w:tcW w:w="2060" w:type="dxa"/>
            <w:vAlign w:val="bottom"/>
            <w:vMerge w:val="continue"/>
            <w:shd w:val="clear" w:color="auto" w:fill="CCEEFF"/>
          </w:tcPr>
          <w:p>
            <w:pPr>
              <w:spacing w:after="0"/>
              <w:rPr>
                <w:sz w:val="16"/>
                <w:szCs w:val="16"/>
                <w:color w:val="auto"/>
              </w:rPr>
            </w:pPr>
          </w:p>
        </w:tc>
        <w:tc>
          <w:tcPr>
            <w:tcW w:w="196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rPr>
              <w:t>Under VFCP</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7"/>
                <w:szCs w:val="17"/>
                <w:b w:val="1"/>
                <w:bCs w:val="1"/>
                <w:color w:val="auto"/>
              </w:rPr>
              <w:t xml:space="preserve"> and</w:t>
            </w:r>
          </w:p>
        </w:tc>
        <w:tc>
          <w:tcPr>
            <w:tcW w:w="0" w:type="dxa"/>
            <w:vAlign w:val="bottom"/>
          </w:tcPr>
          <w:p>
            <w:pPr>
              <w:spacing w:after="0"/>
              <w:rPr>
                <w:sz w:val="1"/>
                <w:szCs w:val="1"/>
                <w:color w:val="auto"/>
              </w:rPr>
            </w:pPr>
          </w:p>
        </w:tc>
      </w:tr>
      <w:tr>
        <w:trPr>
          <w:trHeight w:val="229"/>
        </w:trPr>
        <w:tc>
          <w:tcPr>
            <w:tcW w:w="1020" w:type="dxa"/>
            <w:vAlign w:val="bottom"/>
            <w:tcBorders>
              <w:bottom w:val="single" w:sz="8" w:color="auto"/>
            </w:tcBorders>
            <w:vMerge w:val="continue"/>
            <w:shd w:val="clear" w:color="auto" w:fill="CCEEFF"/>
          </w:tcPr>
          <w:p>
            <w:pPr>
              <w:spacing w:after="0"/>
              <w:rPr>
                <w:sz w:val="19"/>
                <w:szCs w:val="19"/>
                <w:color w:val="auto"/>
              </w:rPr>
            </w:pPr>
          </w:p>
        </w:tc>
        <w:tc>
          <w:tcPr>
            <w:tcW w:w="2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Repayments are Included:</w:t>
            </w:r>
          </w:p>
        </w:tc>
        <w:tc>
          <w:tcPr>
            <w:tcW w:w="182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Corrected</w:t>
            </w:r>
          </w:p>
        </w:tc>
        <w:tc>
          <w:tcPr>
            <w:tcW w:w="1840" w:type="dxa"/>
            <w:vAlign w:val="bottom"/>
            <w:tcBorders>
              <w:bottom w:val="single" w:sz="8" w:color="auto"/>
            </w:tcBorders>
            <w:shd w:val="clear" w:color="auto" w:fill="CCEEFF"/>
          </w:tcPr>
          <w:p>
            <w:pPr>
              <w:jc w:val="center"/>
              <w:ind w:left="10"/>
              <w:spacing w:after="0" w:line="230" w:lineRule="exact"/>
              <w:rPr>
                <w:sz w:val="20"/>
                <w:szCs w:val="20"/>
                <w:color w:val="auto"/>
              </w:rPr>
            </w:pPr>
            <w:r>
              <w:rPr>
                <w:rFonts w:ascii="Times New Roman" w:cs="Times New Roman" w:eastAsia="Times New Roman" w:hAnsi="Times New Roman"/>
                <w:sz w:val="18"/>
                <w:szCs w:val="18"/>
                <w:b w:val="1"/>
                <w:bCs w:val="1"/>
                <w:color w:val="auto"/>
                <w:w w:val="94"/>
              </w:rPr>
              <w:t>VFCP</w:t>
            </w:r>
            <w:r>
              <w:rPr>
                <w:rFonts w:ascii="Times New Roman" w:cs="Times New Roman" w:eastAsia="Times New Roman" w:hAnsi="Times New Roman"/>
                <w:sz w:val="23"/>
                <w:szCs w:val="23"/>
                <w:b w:val="1"/>
                <w:bCs w:val="1"/>
                <w:color w:val="auto"/>
                <w:w w:val="94"/>
                <w:vertAlign w:val="superscript"/>
              </w:rPr>
              <w:t>(1)</w:t>
            </w:r>
          </w:p>
        </w:tc>
        <w:tc>
          <w:tcPr>
            <w:tcW w:w="2060" w:type="dxa"/>
            <w:vAlign w:val="bottom"/>
            <w:tcBorders>
              <w:bottom w:val="single" w:sz="8" w:color="auto"/>
            </w:tcBorders>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Correction in VFCP</w:t>
            </w:r>
            <w:r>
              <w:rPr>
                <w:rFonts w:ascii="Times New Roman" w:cs="Times New Roman" w:eastAsia="Times New Roman" w:hAnsi="Times New Roman"/>
                <w:sz w:val="23"/>
                <w:szCs w:val="23"/>
                <w:b w:val="1"/>
                <w:bCs w:val="1"/>
                <w:color w:val="auto"/>
                <w:w w:val="97"/>
                <w:vertAlign w:val="superscript"/>
              </w:rPr>
              <w:t>(1)</w:t>
            </w:r>
          </w:p>
        </w:tc>
        <w:tc>
          <w:tcPr>
            <w:tcW w:w="1960" w:type="dxa"/>
            <w:vAlign w:val="bottom"/>
            <w:tcBorders>
              <w:bottom w:val="single" w:sz="8" w:color="auto"/>
            </w:tcBorders>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PTE</w:t>
            </w:r>
            <w:r>
              <w:rPr>
                <w:rFonts w:ascii="Times New Roman" w:cs="Times New Roman" w:eastAsia="Times New Roman" w:hAnsi="Times New Roman"/>
                <w:sz w:val="23"/>
                <w:szCs w:val="23"/>
                <w:b w:val="1"/>
                <w:bCs w:val="1"/>
                <w:color w:val="auto"/>
                <w:w w:val="97"/>
                <w:vertAlign w:val="superscript"/>
              </w:rPr>
              <w:t>(2)</w:t>
            </w:r>
            <w:r>
              <w:rPr>
                <w:rFonts w:ascii="Times New Roman" w:cs="Times New Roman" w:eastAsia="Times New Roman" w:hAnsi="Times New Roman"/>
                <w:sz w:val="18"/>
                <w:szCs w:val="18"/>
                <w:b w:val="1"/>
                <w:bCs w:val="1"/>
                <w:color w:val="auto"/>
                <w:w w:val="97"/>
              </w:rPr>
              <w:t xml:space="preserve"> 2002-51</w:t>
            </w:r>
          </w:p>
        </w:tc>
        <w:tc>
          <w:tcPr>
            <w:tcW w:w="0" w:type="dxa"/>
            <w:vAlign w:val="bottom"/>
          </w:tcPr>
          <w:p>
            <w:pPr>
              <w:spacing w:after="0"/>
              <w:rPr>
                <w:sz w:val="1"/>
                <w:szCs w:val="1"/>
                <w:color w:val="auto"/>
              </w:rPr>
            </w:pPr>
          </w:p>
        </w:tc>
      </w:tr>
      <w:tr>
        <w:trPr>
          <w:trHeight w:val="228"/>
        </w:trPr>
        <w:tc>
          <w:tcPr>
            <w:tcW w:w="1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2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88"/>
              </w:rPr>
              <w:t>x</w:t>
            </w:r>
          </w:p>
        </w:tc>
        <w:tc>
          <w:tcPr>
            <w:tcW w:w="1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$2,013</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00" w:hanging="92"/>
        <w:spacing w:after="0"/>
        <w:tabs>
          <w:tab w:leader="none" w:pos="10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Voluntary Fiduciary Correction Program</w:t>
      </w:r>
    </w:p>
    <w:p>
      <w:pPr>
        <w:spacing w:after="0" w:line="55"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Prohibited Transaction Exemption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color w:val="auto"/>
        </w:rPr>
        <w:t>PROG Holdings Employee Retirement Plan</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H, Line 4i – Schedule of Assets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(Held at End of Year)</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EIN #85-2484385 Plan #001</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of December 31, 2025</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w:t>
            </w:r>
          </w:p>
        </w:tc>
        <w:tc>
          <w:tcPr>
            <w:tcW w:w="466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(b)</w:t>
            </w:r>
          </w:p>
        </w:tc>
        <w:tc>
          <w:tcPr>
            <w:tcW w:w="432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(c)</w:t>
            </w:r>
          </w:p>
        </w:tc>
        <w:tc>
          <w:tcPr>
            <w:tcW w:w="220" w:type="dxa"/>
            <w:vAlign w:val="bottom"/>
          </w:tcPr>
          <w:p>
            <w:pPr>
              <w:spacing w:after="0"/>
              <w:rPr>
                <w:sz w:val="17"/>
                <w:szCs w:val="17"/>
                <w:color w:val="auto"/>
              </w:rPr>
            </w:pPr>
          </w:p>
        </w:tc>
        <w:tc>
          <w:tcPr>
            <w:tcW w:w="15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(e)</w:t>
            </w:r>
          </w:p>
        </w:tc>
        <w:tc>
          <w:tcPr>
            <w:tcW w:w="0" w:type="dxa"/>
            <w:vAlign w:val="bottom"/>
          </w:tcPr>
          <w:p>
            <w:pPr>
              <w:spacing w:after="0"/>
              <w:rPr>
                <w:sz w:val="1"/>
                <w:szCs w:val="1"/>
                <w:color w:val="auto"/>
              </w:rPr>
            </w:pPr>
          </w:p>
        </w:tc>
      </w:tr>
      <w:tr>
        <w:trPr>
          <w:trHeight w:val="243"/>
        </w:trPr>
        <w:tc>
          <w:tcPr>
            <w:tcW w:w="500" w:type="dxa"/>
            <w:vAlign w:val="bottom"/>
            <w:tcBorders>
              <w:bottom w:val="single" w:sz="8" w:color="auto"/>
            </w:tcBorders>
            <w:vMerge w:val="continue"/>
          </w:tcPr>
          <w:p>
            <w:pPr>
              <w:spacing w:after="0"/>
              <w:rPr>
                <w:sz w:val="21"/>
                <w:szCs w:val="21"/>
                <w:color w:val="auto"/>
              </w:rPr>
            </w:pPr>
          </w:p>
        </w:tc>
        <w:tc>
          <w:tcPr>
            <w:tcW w:w="4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Identity of Issue, Borrower, Lessor, or Similar Party</w:t>
            </w:r>
          </w:p>
        </w:tc>
        <w:tc>
          <w:tcPr>
            <w:tcW w:w="43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Description of Investment</w:t>
            </w: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Current Value</w:t>
            </w:r>
          </w:p>
        </w:tc>
        <w:tc>
          <w:tcPr>
            <w:tcW w:w="0" w:type="dxa"/>
            <w:vAlign w:val="bottom"/>
          </w:tcPr>
          <w:p>
            <w:pPr>
              <w:spacing w:after="0"/>
              <w:rPr>
                <w:sz w:val="1"/>
                <w:szCs w:val="1"/>
                <w:color w:val="auto"/>
              </w:rPr>
            </w:pPr>
          </w:p>
        </w:tc>
      </w:tr>
      <w:tr>
        <w:trPr>
          <w:trHeight w:val="223"/>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PROG Holdings, Inc. Common Stock Fund</w:t>
            </w:r>
          </w:p>
        </w:tc>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592,533</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Allspring Special Mid Cap VAL FD R6</w:t>
            </w:r>
          </w:p>
        </w:tc>
        <w:tc>
          <w:tcPr>
            <w:tcW w:w="4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761,820</w:t>
            </w:r>
          </w:p>
        </w:tc>
        <w:tc>
          <w:tcPr>
            <w:tcW w:w="0" w:type="dxa"/>
            <w:vAlign w:val="bottom"/>
          </w:tcPr>
          <w:p>
            <w:pPr>
              <w:spacing w:after="0"/>
              <w:rPr>
                <w:sz w:val="1"/>
                <w:szCs w:val="1"/>
                <w:color w:val="auto"/>
              </w:rPr>
            </w:pPr>
          </w:p>
        </w:tc>
      </w:tr>
      <w:tr>
        <w:trPr>
          <w:trHeight w:val="229"/>
        </w:trPr>
        <w:tc>
          <w:tcPr>
            <w:tcW w:w="500" w:type="dxa"/>
            <w:vAlign w:val="bottom"/>
            <w:shd w:val="clear" w:color="auto" w:fill="CCEEFF"/>
          </w:tcPr>
          <w:p>
            <w:pPr>
              <w:spacing w:after="0"/>
              <w:rPr>
                <w:sz w:val="19"/>
                <w:szCs w:val="19"/>
                <w:color w:val="auto"/>
              </w:rPr>
            </w:pP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Federated Instl High Yield Bold Instl</w:t>
            </w:r>
          </w:p>
        </w:tc>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430,023</w:t>
            </w:r>
          </w:p>
        </w:tc>
        <w:tc>
          <w:tcPr>
            <w:tcW w:w="0" w:type="dxa"/>
            <w:vAlign w:val="bottom"/>
          </w:tcPr>
          <w:p>
            <w:pPr>
              <w:spacing w:after="0"/>
              <w:rPr>
                <w:sz w:val="1"/>
                <w:szCs w:val="1"/>
                <w:color w:val="auto"/>
              </w:rPr>
            </w:pPr>
          </w:p>
        </w:tc>
      </w:tr>
      <w:tr>
        <w:trPr>
          <w:trHeight w:val="229"/>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Fidelity Government Cash Reserves Fund</w:t>
            </w:r>
          </w:p>
        </w:tc>
        <w:tc>
          <w:tcPr>
            <w:tcW w:w="4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Fidelity International Growth</w:t>
            </w:r>
          </w:p>
        </w:tc>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642,713</w:t>
            </w:r>
          </w:p>
        </w:tc>
        <w:tc>
          <w:tcPr>
            <w:tcW w:w="0" w:type="dxa"/>
            <w:vAlign w:val="bottom"/>
          </w:tcPr>
          <w:p>
            <w:pPr>
              <w:spacing w:after="0"/>
              <w:rPr>
                <w:sz w:val="1"/>
                <w:szCs w:val="1"/>
                <w:color w:val="auto"/>
              </w:rPr>
            </w:pPr>
          </w:p>
        </w:tc>
      </w:tr>
      <w:tr>
        <w:trPr>
          <w:trHeight w:val="229"/>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Fidelity Small Cap Growth</w:t>
            </w:r>
          </w:p>
        </w:tc>
        <w:tc>
          <w:tcPr>
            <w:tcW w:w="4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763,511</w:t>
            </w: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Fidelity US Bond Index</w:t>
            </w:r>
          </w:p>
        </w:tc>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3,766,702</w:t>
            </w:r>
          </w:p>
        </w:tc>
        <w:tc>
          <w:tcPr>
            <w:tcW w:w="0" w:type="dxa"/>
            <w:vAlign w:val="bottom"/>
          </w:tcPr>
          <w:p>
            <w:pPr>
              <w:spacing w:after="0"/>
              <w:rPr>
                <w:sz w:val="1"/>
                <w:szCs w:val="1"/>
                <w:color w:val="auto"/>
              </w:rPr>
            </w:pPr>
          </w:p>
        </w:tc>
      </w:tr>
      <w:tr>
        <w:trPr>
          <w:trHeight w:val="229"/>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Fidelity 500 Index</w:t>
            </w:r>
          </w:p>
        </w:tc>
        <w:tc>
          <w:tcPr>
            <w:tcW w:w="4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16,796,586</w:t>
            </w:r>
          </w:p>
        </w:tc>
        <w:tc>
          <w:tcPr>
            <w:tcW w:w="0" w:type="dxa"/>
            <w:vAlign w:val="bottom"/>
          </w:tcPr>
          <w:p>
            <w:pPr>
              <w:spacing w:after="0"/>
              <w:rPr>
                <w:sz w:val="1"/>
                <w:szCs w:val="1"/>
                <w:color w:val="auto"/>
              </w:rPr>
            </w:pPr>
          </w:p>
        </w:tc>
      </w:tr>
      <w:tr>
        <w:trPr>
          <w:trHeight w:val="229"/>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Fidelity Mid Cap Index</w:t>
            </w:r>
          </w:p>
        </w:tc>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3,254,455</w:t>
            </w:r>
          </w:p>
        </w:tc>
        <w:tc>
          <w:tcPr>
            <w:tcW w:w="0" w:type="dxa"/>
            <w:vAlign w:val="bottom"/>
          </w:tcPr>
          <w:p>
            <w:pPr>
              <w:spacing w:after="0"/>
              <w:rPr>
                <w:sz w:val="1"/>
                <w:szCs w:val="1"/>
                <w:color w:val="auto"/>
              </w:rPr>
            </w:pPr>
          </w:p>
        </w:tc>
      </w:tr>
      <w:tr>
        <w:trPr>
          <w:trHeight w:val="230"/>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Fidelity Small Cap Index</w:t>
            </w:r>
          </w:p>
        </w:tc>
        <w:tc>
          <w:tcPr>
            <w:tcW w:w="4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3,428,182</w:t>
            </w:r>
          </w:p>
        </w:tc>
        <w:tc>
          <w:tcPr>
            <w:tcW w:w="0" w:type="dxa"/>
            <w:vAlign w:val="bottom"/>
          </w:tcPr>
          <w:p>
            <w:pPr>
              <w:spacing w:after="0"/>
              <w:rPr>
                <w:sz w:val="1"/>
                <w:szCs w:val="1"/>
                <w:color w:val="auto"/>
              </w:rPr>
            </w:pPr>
          </w:p>
        </w:tc>
      </w:tr>
      <w:tr>
        <w:trPr>
          <w:trHeight w:val="229"/>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Fidelity International Index</w:t>
            </w:r>
          </w:p>
        </w:tc>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5,800,053</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Mid Cap Fund R6</w:t>
            </w:r>
          </w:p>
        </w:tc>
        <w:tc>
          <w:tcPr>
            <w:tcW w:w="4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919,137</w:t>
            </w:r>
          </w:p>
        </w:tc>
        <w:tc>
          <w:tcPr>
            <w:tcW w:w="0" w:type="dxa"/>
            <w:vAlign w:val="bottom"/>
          </w:tcPr>
          <w:p>
            <w:pPr>
              <w:spacing w:after="0"/>
              <w:rPr>
                <w:sz w:val="1"/>
                <w:szCs w:val="1"/>
                <w:color w:val="auto"/>
              </w:rPr>
            </w:pPr>
          </w:p>
        </w:tc>
      </w:tr>
      <w:tr>
        <w:trPr>
          <w:trHeight w:val="229"/>
        </w:trPr>
        <w:tc>
          <w:tcPr>
            <w:tcW w:w="500" w:type="dxa"/>
            <w:vAlign w:val="bottom"/>
            <w:shd w:val="clear" w:color="auto" w:fill="CCEEFF"/>
          </w:tcPr>
          <w:p>
            <w:pPr>
              <w:spacing w:after="0"/>
              <w:rPr>
                <w:sz w:val="19"/>
                <w:szCs w:val="19"/>
                <w:color w:val="auto"/>
              </w:rPr>
            </w:pP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GQC Partners Emerging Markets Equity Fund R6</w:t>
            </w:r>
          </w:p>
        </w:tc>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1,285,765</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JP Morgan Large Cap Growth R6</w:t>
            </w:r>
          </w:p>
        </w:tc>
        <w:tc>
          <w:tcPr>
            <w:tcW w:w="4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4,182,506</w:t>
            </w:r>
          </w:p>
        </w:tc>
        <w:tc>
          <w:tcPr>
            <w:tcW w:w="0" w:type="dxa"/>
            <w:vAlign w:val="bottom"/>
          </w:tcPr>
          <w:p>
            <w:pPr>
              <w:spacing w:after="0"/>
              <w:rPr>
                <w:sz w:val="1"/>
                <w:szCs w:val="1"/>
                <w:color w:val="auto"/>
              </w:rPr>
            </w:pPr>
          </w:p>
        </w:tc>
      </w:tr>
      <w:tr>
        <w:trPr>
          <w:trHeight w:val="229"/>
        </w:trPr>
        <w:tc>
          <w:tcPr>
            <w:tcW w:w="500" w:type="dxa"/>
            <w:vAlign w:val="bottom"/>
            <w:shd w:val="clear" w:color="auto" w:fill="CCEEFF"/>
          </w:tcPr>
          <w:p>
            <w:pPr>
              <w:spacing w:after="0"/>
              <w:rPr>
                <w:sz w:val="19"/>
                <w:szCs w:val="19"/>
                <w:color w:val="auto"/>
              </w:rPr>
            </w:pP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PIMCO Int'l Bond US Dollar Hedge Inst</w:t>
            </w:r>
          </w:p>
        </w:tc>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353,825</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Putnam Large Cap Value Fund R6</w:t>
            </w:r>
          </w:p>
        </w:tc>
        <w:tc>
          <w:tcPr>
            <w:tcW w:w="4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2,719,174</w:t>
            </w: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spacing w:after="0"/>
              <w:rPr>
                <w:sz w:val="19"/>
                <w:szCs w:val="19"/>
                <w:color w:val="auto"/>
              </w:rPr>
            </w:pP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Putnam International Value Fund</w:t>
            </w:r>
          </w:p>
        </w:tc>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854,487</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Undiscovered MGRS Behavioral VAL R6</w:t>
            </w:r>
          </w:p>
        </w:tc>
        <w:tc>
          <w:tcPr>
            <w:tcW w:w="4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356,656</w:t>
            </w:r>
          </w:p>
        </w:tc>
        <w:tc>
          <w:tcPr>
            <w:tcW w:w="0" w:type="dxa"/>
            <w:vAlign w:val="bottom"/>
          </w:tcPr>
          <w:p>
            <w:pPr>
              <w:spacing w:after="0"/>
              <w:rPr>
                <w:sz w:val="1"/>
                <w:szCs w:val="1"/>
                <w:color w:val="auto"/>
              </w:rPr>
            </w:pPr>
          </w:p>
        </w:tc>
      </w:tr>
      <w:tr>
        <w:trPr>
          <w:trHeight w:val="229"/>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 Target Retirement 2070 Inv</w:t>
            </w:r>
          </w:p>
        </w:tc>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0" w:type="dxa"/>
            <w:vAlign w:val="bottom"/>
          </w:tcPr>
          <w:p>
            <w:pPr>
              <w:spacing w:after="0"/>
              <w:rPr>
                <w:sz w:val="1"/>
                <w:szCs w:val="1"/>
                <w:color w:val="auto"/>
              </w:rPr>
            </w:pPr>
          </w:p>
        </w:tc>
      </w:tr>
      <w:tr>
        <w:trPr>
          <w:trHeight w:val="230"/>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Vanguard Target Retirement 2065 Inv</w:t>
            </w:r>
          </w:p>
        </w:tc>
        <w:tc>
          <w:tcPr>
            <w:tcW w:w="4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577,016</w:t>
            </w: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 Target Retirement 2060 Inv</w:t>
            </w:r>
          </w:p>
        </w:tc>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2,666,947</w:t>
            </w:r>
          </w:p>
        </w:tc>
        <w:tc>
          <w:tcPr>
            <w:tcW w:w="0" w:type="dxa"/>
            <w:vAlign w:val="bottom"/>
          </w:tcPr>
          <w:p>
            <w:pPr>
              <w:spacing w:after="0"/>
              <w:rPr>
                <w:sz w:val="1"/>
                <w:szCs w:val="1"/>
                <w:color w:val="auto"/>
              </w:rPr>
            </w:pPr>
          </w:p>
        </w:tc>
      </w:tr>
      <w:tr>
        <w:trPr>
          <w:trHeight w:val="230"/>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Vanguard Target Retirement 2055 Inv</w:t>
            </w:r>
          </w:p>
        </w:tc>
        <w:tc>
          <w:tcPr>
            <w:tcW w:w="4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4,934,620</w:t>
            </w:r>
          </w:p>
        </w:tc>
        <w:tc>
          <w:tcPr>
            <w:tcW w:w="0" w:type="dxa"/>
            <w:vAlign w:val="bottom"/>
          </w:tcPr>
          <w:p>
            <w:pPr>
              <w:spacing w:after="0"/>
              <w:rPr>
                <w:sz w:val="1"/>
                <w:szCs w:val="1"/>
                <w:color w:val="auto"/>
              </w:rPr>
            </w:pPr>
          </w:p>
        </w:tc>
      </w:tr>
      <w:tr>
        <w:trPr>
          <w:trHeight w:val="229"/>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 Target Retirement 2050 Inv</w:t>
            </w:r>
          </w:p>
        </w:tc>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8,337,575</w:t>
            </w:r>
          </w:p>
        </w:tc>
        <w:tc>
          <w:tcPr>
            <w:tcW w:w="0" w:type="dxa"/>
            <w:vAlign w:val="bottom"/>
          </w:tcPr>
          <w:p>
            <w:pPr>
              <w:spacing w:after="0"/>
              <w:rPr>
                <w:sz w:val="1"/>
                <w:szCs w:val="1"/>
                <w:color w:val="auto"/>
              </w:rPr>
            </w:pPr>
          </w:p>
        </w:tc>
      </w:tr>
      <w:tr>
        <w:trPr>
          <w:trHeight w:val="230"/>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Vanguard Target Retirement 2045 Inv</w:t>
            </w:r>
          </w:p>
        </w:tc>
        <w:tc>
          <w:tcPr>
            <w:tcW w:w="4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5,398,047</w:t>
            </w: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 Target Retirement 2040 Inv</w:t>
            </w:r>
          </w:p>
        </w:tc>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5,364,689</w:t>
            </w:r>
          </w:p>
        </w:tc>
        <w:tc>
          <w:tcPr>
            <w:tcW w:w="0" w:type="dxa"/>
            <w:vAlign w:val="bottom"/>
          </w:tcPr>
          <w:p>
            <w:pPr>
              <w:spacing w:after="0"/>
              <w:rPr>
                <w:sz w:val="1"/>
                <w:szCs w:val="1"/>
                <w:color w:val="auto"/>
              </w:rPr>
            </w:pPr>
          </w:p>
        </w:tc>
      </w:tr>
      <w:tr>
        <w:trPr>
          <w:trHeight w:val="230"/>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Vanguard Target Retirement 2035 Inv</w:t>
            </w:r>
          </w:p>
        </w:tc>
        <w:tc>
          <w:tcPr>
            <w:tcW w:w="4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3,085,252</w:t>
            </w:r>
          </w:p>
        </w:tc>
        <w:tc>
          <w:tcPr>
            <w:tcW w:w="0" w:type="dxa"/>
            <w:vAlign w:val="bottom"/>
          </w:tcPr>
          <w:p>
            <w:pPr>
              <w:spacing w:after="0"/>
              <w:rPr>
                <w:sz w:val="1"/>
                <w:szCs w:val="1"/>
                <w:color w:val="auto"/>
              </w:rPr>
            </w:pPr>
          </w:p>
        </w:tc>
      </w:tr>
      <w:tr>
        <w:trPr>
          <w:trHeight w:val="229"/>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 Target Retirement 2030 Inv</w:t>
            </w:r>
          </w:p>
        </w:tc>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3,258,281</w:t>
            </w:r>
          </w:p>
        </w:tc>
        <w:tc>
          <w:tcPr>
            <w:tcW w:w="0" w:type="dxa"/>
            <w:vAlign w:val="bottom"/>
          </w:tcPr>
          <w:p>
            <w:pPr>
              <w:spacing w:after="0"/>
              <w:rPr>
                <w:sz w:val="1"/>
                <w:szCs w:val="1"/>
                <w:color w:val="auto"/>
              </w:rPr>
            </w:pPr>
          </w:p>
        </w:tc>
      </w:tr>
      <w:tr>
        <w:trPr>
          <w:trHeight w:val="230"/>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Vanguard Target Retirement 2025 Inv</w:t>
            </w:r>
          </w:p>
        </w:tc>
        <w:tc>
          <w:tcPr>
            <w:tcW w:w="4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372,533</w:t>
            </w: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 Target Retirement 2020 Inv</w:t>
            </w:r>
          </w:p>
        </w:tc>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466,483</w:t>
            </w:r>
          </w:p>
        </w:tc>
        <w:tc>
          <w:tcPr>
            <w:tcW w:w="0" w:type="dxa"/>
            <w:vAlign w:val="bottom"/>
          </w:tcPr>
          <w:p>
            <w:pPr>
              <w:spacing w:after="0"/>
              <w:rPr>
                <w:sz w:val="1"/>
                <w:szCs w:val="1"/>
                <w:color w:val="auto"/>
              </w:rPr>
            </w:pPr>
          </w:p>
        </w:tc>
      </w:tr>
      <w:tr>
        <w:trPr>
          <w:trHeight w:val="230"/>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Vanguard Target Retirement Income Inv</w:t>
            </w:r>
          </w:p>
        </w:tc>
        <w:tc>
          <w:tcPr>
            <w:tcW w:w="4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347,450</w:t>
            </w:r>
          </w:p>
        </w:tc>
        <w:tc>
          <w:tcPr>
            <w:tcW w:w="0" w:type="dxa"/>
            <w:vAlign w:val="bottom"/>
          </w:tcPr>
          <w:p>
            <w:pPr>
              <w:spacing w:after="0"/>
              <w:rPr>
                <w:sz w:val="1"/>
                <w:szCs w:val="1"/>
                <w:color w:val="auto"/>
              </w:rPr>
            </w:pPr>
          </w:p>
        </w:tc>
      </w:tr>
      <w:tr>
        <w:trPr>
          <w:trHeight w:val="229"/>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 Fed Money Market Fund Invest Share</w:t>
            </w:r>
          </w:p>
        </w:tc>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Money Market Deposit Account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2,655,560</w:t>
            </w:r>
          </w:p>
        </w:tc>
        <w:tc>
          <w:tcPr>
            <w:tcW w:w="0" w:type="dxa"/>
            <w:vAlign w:val="bottom"/>
          </w:tcPr>
          <w:p>
            <w:pPr>
              <w:spacing w:after="0"/>
              <w:rPr>
                <w:sz w:val="1"/>
                <w:szCs w:val="1"/>
                <w:color w:val="auto"/>
              </w:rPr>
            </w:pPr>
          </w:p>
        </w:tc>
      </w:tr>
      <w:tr>
        <w:trPr>
          <w:trHeight w:val="230"/>
        </w:trPr>
        <w:tc>
          <w:tcPr>
            <w:tcW w:w="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Participant loans</w:t>
            </w:r>
          </w:p>
        </w:tc>
        <w:tc>
          <w:tcPr>
            <w:tcW w:w="43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Interest rates ranged from 4.25% to 9.50%</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1,136,583</w:t>
            </w:r>
          </w:p>
        </w:tc>
        <w:tc>
          <w:tcPr>
            <w:tcW w:w="0" w:type="dxa"/>
            <w:vAlign w:val="bottom"/>
          </w:tcPr>
          <w:p>
            <w:pPr>
              <w:spacing w:after="0"/>
              <w:rPr>
                <w:sz w:val="1"/>
                <w:szCs w:val="1"/>
                <w:color w:val="auto"/>
              </w:rPr>
            </w:pPr>
          </w:p>
        </w:tc>
      </w:tr>
      <w:tr>
        <w:trPr>
          <w:trHeight w:val="248"/>
        </w:trPr>
        <w:tc>
          <w:tcPr>
            <w:tcW w:w="50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85,517,326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  Indicates a Party-in-Interest to the Plan</w:t>
            </w:r>
          </w:p>
        </w:tc>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160" w:type="dxa"/>
            <w:vAlign w:val="bottom"/>
            <w:gridSpan w:val="2"/>
            <w:vMerge w:val="continue"/>
          </w:tcPr>
          <w:p>
            <w:pPr>
              <w:spacing w:after="0"/>
              <w:rPr>
                <w:sz w:val="24"/>
                <w:szCs w:val="24"/>
                <w:color w:val="auto"/>
              </w:rPr>
            </w:pPr>
          </w:p>
        </w:tc>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Note:</w:t>
            </w:r>
          </w:p>
        </w:tc>
        <w:tc>
          <w:tcPr>
            <w:tcW w:w="8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information has not been included in column (d) because all investments are participant directed.</w:t>
            </w: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SIGNATURES</w:t>
      </w:r>
    </w:p>
    <w:p>
      <w:pPr>
        <w:spacing w:after="0" w:line="274" w:lineRule="exact"/>
        <w:rPr>
          <w:sz w:val="20"/>
          <w:szCs w:val="20"/>
          <w:color w:val="auto"/>
        </w:rPr>
      </w:pPr>
    </w:p>
    <w:p>
      <w:pPr>
        <w:jc w:val="both"/>
        <w:ind w:firstLine="548"/>
        <w:spacing w:after="0" w:line="263"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66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7540" w:type="dxa"/>
            <w:vAlign w:val="bottom"/>
            <w:gridSpan w:val="2"/>
          </w:tcPr>
          <w:p>
            <w:pPr>
              <w:ind w:left="1640"/>
              <w:spacing w:after="0"/>
              <w:rPr>
                <w:sz w:val="20"/>
                <w:szCs w:val="20"/>
                <w:color w:val="auto"/>
              </w:rPr>
            </w:pPr>
            <w:r>
              <w:rPr>
                <w:rFonts w:ascii="Times New Roman" w:cs="Times New Roman" w:eastAsia="Times New Roman" w:hAnsi="Times New Roman"/>
                <w:sz w:val="22"/>
                <w:szCs w:val="22"/>
                <w:color w:val="auto"/>
              </w:rPr>
              <w:t>PROG Holdings</w:t>
            </w:r>
          </w:p>
        </w:tc>
      </w:tr>
      <w:tr>
        <w:trPr>
          <w:trHeight w:val="282"/>
        </w:trPr>
        <w:tc>
          <w:tcPr>
            <w:tcW w:w="6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540" w:type="dxa"/>
            <w:vAlign w:val="bottom"/>
            <w:gridSpan w:val="2"/>
          </w:tcPr>
          <w:p>
            <w:pPr>
              <w:ind w:left="1640"/>
              <w:spacing w:after="0"/>
              <w:rPr>
                <w:sz w:val="20"/>
                <w:szCs w:val="20"/>
                <w:color w:val="auto"/>
              </w:rPr>
            </w:pPr>
            <w:r>
              <w:rPr>
                <w:rFonts w:ascii="Times New Roman" w:cs="Times New Roman" w:eastAsia="Times New Roman" w:hAnsi="Times New Roman"/>
                <w:sz w:val="22"/>
                <w:szCs w:val="22"/>
                <w:color w:val="auto"/>
              </w:rPr>
              <w:t>Employee Retirement Plan</w:t>
            </w:r>
          </w:p>
        </w:tc>
      </w:tr>
      <w:tr>
        <w:trPr>
          <w:trHeight w:val="932"/>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30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June 25, 2026</w:t>
            </w:r>
          </w:p>
        </w:tc>
        <w:tc>
          <w:tcPr>
            <w:tcW w:w="1660" w:type="dxa"/>
            <w:vAlign w:val="bottom"/>
          </w:tcPr>
          <w:p>
            <w:pPr>
              <w:spacing w:after="0"/>
              <w:rPr>
                <w:sz w:val="24"/>
                <w:szCs w:val="24"/>
                <w:color w:val="auto"/>
              </w:rPr>
            </w:pPr>
          </w:p>
        </w:tc>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Brian Garner</w:t>
            </w:r>
          </w:p>
        </w:tc>
      </w:tr>
      <w:tr>
        <w:trPr>
          <w:trHeight w:val="250"/>
        </w:trPr>
        <w:tc>
          <w:tcPr>
            <w:tcW w:w="6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8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Brian Garner</w:t>
            </w:r>
          </w:p>
        </w:tc>
      </w:tr>
      <w:tr>
        <w:trPr>
          <w:trHeight w:val="282"/>
        </w:trPr>
        <w:tc>
          <w:tcPr>
            <w:tcW w:w="6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36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Exhibit</w:t>
      </w:r>
      <w:r>
        <w:rPr>
          <w:sz w:val="20"/>
          <w:szCs w:val="20"/>
          <w:color w:val="auto"/>
        </w:rPr>
        <w:tab/>
      </w:r>
      <w:r>
        <w:rPr>
          <w:rFonts w:ascii="Times New Roman" w:cs="Times New Roman" w:eastAsia="Times New Roman" w:hAnsi="Times New Roman"/>
          <w:sz w:val="22"/>
          <w:szCs w:val="22"/>
          <w:b w:val="1"/>
          <w:bCs w:val="1"/>
          <w:color w:val="auto"/>
        </w:rPr>
        <w:t>Description</w:t>
      </w:r>
    </w:p>
    <w:p>
      <w:pPr>
        <w:spacing w:after="0" w:line="35" w:lineRule="exact"/>
        <w:rPr>
          <w:sz w:val="20"/>
          <w:szCs w:val="20"/>
          <w:color w:val="auto"/>
        </w:rPr>
      </w:pPr>
    </w:p>
    <w:p>
      <w:pPr>
        <w:ind w:left="320"/>
        <w:spacing w:after="0"/>
        <w:tabs>
          <w:tab w:leader="none" w:pos="1280" w:val="left"/>
        </w:tabs>
        <w:rPr>
          <w:sz w:val="20"/>
          <w:szCs w:val="20"/>
          <w:color w:val="auto"/>
        </w:rPr>
      </w:pPr>
      <w:r>
        <w:rPr>
          <w:rFonts w:ascii="Times New Roman" w:cs="Times New Roman" w:eastAsia="Times New Roman" w:hAnsi="Times New Roman"/>
          <w:sz w:val="22"/>
          <w:szCs w:val="22"/>
          <w:color w:val="auto"/>
        </w:rPr>
        <w:t>23.1</w:t>
      </w:r>
      <w:r>
        <w:rPr>
          <w:sz w:val="20"/>
          <w:szCs w:val="20"/>
          <w:color w:val="auto"/>
        </w:rPr>
        <w:tab/>
      </w:r>
      <w:r>
        <w:rPr>
          <w:rFonts w:ascii="Times New Roman" w:cs="Times New Roman" w:eastAsia="Times New Roman" w:hAnsi="Times New Roman"/>
          <w:sz w:val="21"/>
          <w:szCs w:val="21"/>
          <w:u w:val="single" w:color="auto"/>
          <w:color w:val="0000FF"/>
        </w:rPr>
        <w:t>Consent of Carr, Riggs &amp; Ingram,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-160020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00"/>
          </w:cols>
          <w:pgMar w:left="360" w:top="1418"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We consent to the incorporation by reference of our report dated, June 25, 2026, relating to our audit of the PROG Holdings Employee Retirement Plan's (the "Plan") financial statements and supplemental schedules for the year ended December 31, 2025, which appears in the Plan's Annual Report on Form 11-K, in the Registration Statement No. 333-171113 on Form S-8.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CARR, RIGGS &amp; INGRAM, L.L.C.</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Atlanta, Georgia</w:t>
      </w:r>
    </w:p>
    <w:p>
      <w:pPr>
        <w:spacing w:after="0"/>
        <w:rPr>
          <w:sz w:val="20"/>
          <w:szCs w:val="20"/>
          <w:color w:val="auto"/>
        </w:rPr>
      </w:pPr>
      <w:r>
        <w:rPr>
          <w:rFonts w:ascii="Times New Roman" w:cs="Times New Roman" w:eastAsia="Times New Roman" w:hAnsi="Times New Roman"/>
          <w:sz w:val="22"/>
          <w:szCs w:val="22"/>
          <w:color w:val="auto"/>
        </w:rPr>
        <w:t>June 25,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2026-06-25T16:06:02Z</dcterms:created>
  <dcterms:modified xsi:type="dcterms:W3CDTF">2026-06-25T16:06:02Z</dcterms:modified>
</cp:coreProperties>
</file>